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32A3" w:rsidRPr="000D32A3" w:rsidRDefault="000D32A3" w:rsidP="000D32A3">
      <w:pPr>
        <w:jc w:val="center"/>
        <w:rPr>
          <w:sz w:val="44"/>
          <w:szCs w:val="44"/>
        </w:rPr>
      </w:pPr>
      <w:bookmarkStart w:id="0" w:name="_GoBack"/>
      <w:bookmarkEnd w:id="0"/>
      <w:r w:rsidRPr="000D32A3">
        <w:rPr>
          <w:rFonts w:hint="eastAsia"/>
          <w:sz w:val="44"/>
          <w:szCs w:val="44"/>
        </w:rPr>
        <w:t>发展新质生产力</w:t>
      </w:r>
    </w:p>
    <w:p w:rsidR="000D32A3" w:rsidRPr="000D32A3" w:rsidRDefault="000B7327" w:rsidP="000D32A3">
      <w:pPr>
        <w:widowControl/>
        <w:jc w:val="left"/>
        <w:rPr>
          <w:rFonts w:ascii="仿宋" w:hAnsi="仿宋"/>
        </w:rPr>
      </w:pPr>
      <w:r w:rsidRPr="000D32A3">
        <w:rPr>
          <w:rFonts w:ascii="仿宋" w:hAnsi="仿宋" w:hint="eastAsia"/>
        </w:rPr>
        <w:t>中央经济工作会议</w:t>
      </w:r>
      <w:r>
        <w:rPr>
          <w:rFonts w:ascii="仿宋" w:hAnsi="仿宋" w:hint="eastAsia"/>
        </w:rPr>
        <w:t>于</w:t>
      </w:r>
      <w:r w:rsidR="000D32A3" w:rsidRPr="000D32A3">
        <w:rPr>
          <w:rFonts w:ascii="仿宋" w:hAnsi="仿宋" w:hint="eastAsia"/>
        </w:rPr>
        <w:t>2023年12月11日至12日指出：以科技创新引领现代化产业体系建设。要以科技创新推动产业创新，特别是以颠覆性技术和前沿技术催生新产业、新模式、新动能，发展新质生产力</w:t>
      </w:r>
      <w:r w:rsidR="006953D2">
        <w:rPr>
          <w:rFonts w:ascii="仿宋" w:hAnsi="仿宋" w:hint="eastAsia"/>
        </w:rPr>
        <w:t>。</w:t>
      </w:r>
    </w:p>
    <w:p w:rsidR="000D32A3" w:rsidRPr="00876F3D" w:rsidRDefault="000D32A3" w:rsidP="00876F3D">
      <w:pPr>
        <w:rPr>
          <w:rFonts w:ascii="黑体" w:eastAsia="黑体" w:hAnsi="黑体"/>
          <w:bCs/>
          <w:sz w:val="28"/>
          <w:szCs w:val="28"/>
        </w:rPr>
      </w:pPr>
      <w:r w:rsidRPr="00876F3D">
        <w:rPr>
          <w:rFonts w:ascii="黑体" w:eastAsia="黑体" w:hAnsi="黑体" w:hint="eastAsia"/>
          <w:bCs/>
          <w:sz w:val="28"/>
          <w:szCs w:val="28"/>
        </w:rPr>
        <w:t>时代内涵</w:t>
      </w:r>
    </w:p>
    <w:p w:rsidR="000D32A3" w:rsidRPr="000D32A3" w:rsidRDefault="000D32A3" w:rsidP="000D32A3">
      <w:pPr>
        <w:widowControl/>
        <w:jc w:val="left"/>
        <w:rPr>
          <w:rFonts w:ascii="仿宋" w:hAnsi="仿宋"/>
        </w:rPr>
      </w:pPr>
      <w:r w:rsidRPr="000D32A3">
        <w:rPr>
          <w:rFonts w:ascii="仿宋" w:hAnsi="仿宋" w:hint="eastAsia"/>
        </w:rPr>
        <w:t>从经济学角度看，新质生产力代表一种生产力的跃迁。它是科技创新在其中发挥主导作用的生产力，高效能、高效率、高质量，区别于依靠大量资源投入、高度消耗资源能源的生产力发展方式</w:t>
      </w:r>
      <w:r w:rsidR="006953D2">
        <w:rPr>
          <w:rFonts w:ascii="仿宋" w:hAnsi="仿宋" w:hint="eastAsia"/>
        </w:rPr>
        <w:t>，</w:t>
      </w:r>
      <w:r w:rsidRPr="000D32A3">
        <w:rPr>
          <w:rFonts w:ascii="仿宋" w:hAnsi="仿宋" w:hint="eastAsia"/>
        </w:rPr>
        <w:t>是摆脱了传统增长路径、符合高质量发展要求的生产力，是数字时代更显创新性、更具融合性、更体现新内涵的生产力。新质生产力的主要内涵主要体现在以下几点：</w:t>
      </w:r>
    </w:p>
    <w:p w:rsidR="00F16AA1" w:rsidRPr="00F16AA1" w:rsidRDefault="00401E8D" w:rsidP="00F16AA1">
      <w:pPr>
        <w:rPr>
          <w:rFonts w:ascii="微软雅黑" w:eastAsia="微软雅黑" w:hAnsi="微软雅黑"/>
          <w:i/>
        </w:rPr>
      </w:pPr>
      <w:r>
        <w:rPr>
          <w:rFonts w:ascii="微软雅黑" w:eastAsia="微软雅黑" w:hAnsi="微软雅黑" w:hint="eastAsia"/>
          <w:i/>
        </w:rPr>
        <w:t>1、</w:t>
      </w:r>
      <w:r w:rsidR="000D32A3" w:rsidRPr="00F16AA1">
        <w:rPr>
          <w:rFonts w:ascii="微软雅黑" w:eastAsia="微软雅黑" w:hAnsi="微软雅黑" w:hint="eastAsia"/>
          <w:i/>
        </w:rPr>
        <w:t>新质生产力是新时代党领导下先进生产力的具体表现形式。</w:t>
      </w:r>
    </w:p>
    <w:p w:rsidR="000D32A3" w:rsidRPr="000D32A3" w:rsidRDefault="000D32A3" w:rsidP="000D32A3">
      <w:pPr>
        <w:widowControl/>
        <w:jc w:val="left"/>
        <w:rPr>
          <w:rFonts w:ascii="仿宋" w:hAnsi="仿宋"/>
        </w:rPr>
      </w:pPr>
      <w:r w:rsidRPr="000D32A3">
        <w:rPr>
          <w:rFonts w:ascii="仿宋" w:hAnsi="仿宋" w:hint="eastAsia"/>
        </w:rPr>
        <w:t>党的二十大报告提出，必须坚持科技是第一生产力、人才是第一资源、创新是第一动力，深入实施科教兴国战略、人才强国战略、创新驱动发展战略，开辟发展新领域新赛道，不断塑造发展新动能新优势，这深刻体现出党对科技推动生产力发展的规律性认识。科技创新推动生产力发展，孕育先进生产力。新时代以来，科技创新的广度、深度和融合度使生产力的发展水平与先进程度不断提高，逐步形成了涉及领域新、科技含量高、交叉属性强、符合高质量发展要求的新质生产力，实现了生产力的跃迁和质变。</w:t>
      </w:r>
    </w:p>
    <w:p w:rsidR="00F16AA1" w:rsidRPr="00F16AA1" w:rsidRDefault="00401E8D" w:rsidP="00F16AA1">
      <w:pPr>
        <w:rPr>
          <w:rFonts w:ascii="微软雅黑" w:eastAsia="微软雅黑" w:hAnsi="微软雅黑"/>
          <w:i/>
        </w:rPr>
      </w:pPr>
      <w:r>
        <w:rPr>
          <w:rFonts w:ascii="微软雅黑" w:eastAsia="微软雅黑" w:hAnsi="微软雅黑" w:hint="eastAsia"/>
          <w:i/>
        </w:rPr>
        <w:t>2、</w:t>
      </w:r>
      <w:r w:rsidR="000D32A3" w:rsidRPr="00F16AA1">
        <w:rPr>
          <w:rFonts w:ascii="微软雅黑" w:eastAsia="微软雅黑" w:hAnsi="微软雅黑" w:hint="eastAsia"/>
          <w:i/>
        </w:rPr>
        <w:t>新质生产力是新时代我国经济社会高质量发展的必然产物。</w:t>
      </w:r>
    </w:p>
    <w:p w:rsidR="000D32A3" w:rsidRPr="000D32A3" w:rsidRDefault="000D32A3" w:rsidP="000D32A3">
      <w:pPr>
        <w:widowControl/>
        <w:jc w:val="left"/>
        <w:rPr>
          <w:rFonts w:ascii="仿宋" w:hAnsi="仿宋"/>
        </w:rPr>
      </w:pPr>
      <w:r w:rsidRPr="000D32A3">
        <w:rPr>
          <w:rFonts w:ascii="仿宋" w:hAnsi="仿宋" w:hint="eastAsia"/>
        </w:rPr>
        <w:t>要实现经济社会高质量发展，进一步解决不平衡不充分的发展问题，需以创新驱动为引领，逐步摆脱传统的人力和资源能源驱动型增长模式，实现低成本优势向创新优势的转变，创造新产业、培育新动能、形成新优势。与高速增长相比，高质量发展的要素条件、组合方式、配置机制、发展模式等都发生了根本性改变，这就要求大力推动动力变革、效率变革、质量变革，提升全要素生产率，实现创新驱动发展，这就为新质生产力的形成和发展创造了条件。</w:t>
      </w:r>
    </w:p>
    <w:p w:rsidR="00F16AA1" w:rsidRPr="00F16AA1" w:rsidRDefault="00401E8D" w:rsidP="00F16AA1">
      <w:pPr>
        <w:rPr>
          <w:rFonts w:ascii="微软雅黑" w:eastAsia="微软雅黑" w:hAnsi="微软雅黑"/>
          <w:i/>
        </w:rPr>
      </w:pPr>
      <w:r>
        <w:rPr>
          <w:rFonts w:ascii="微软雅黑" w:eastAsia="微软雅黑" w:hAnsi="微软雅黑" w:hint="eastAsia"/>
          <w:i/>
        </w:rPr>
        <w:t>3、</w:t>
      </w:r>
      <w:r w:rsidR="000D32A3" w:rsidRPr="00F16AA1">
        <w:rPr>
          <w:rFonts w:ascii="微软雅黑" w:eastAsia="微软雅黑" w:hAnsi="微软雅黑" w:hint="eastAsia"/>
          <w:i/>
        </w:rPr>
        <w:t>新质生产力是引领全球创新性可持续发展的关键驱动要素。</w:t>
      </w:r>
    </w:p>
    <w:p w:rsidR="000D32A3" w:rsidRPr="000D32A3" w:rsidRDefault="000D32A3" w:rsidP="000D32A3">
      <w:pPr>
        <w:widowControl/>
        <w:jc w:val="left"/>
        <w:rPr>
          <w:rFonts w:ascii="仿宋" w:hAnsi="仿宋"/>
        </w:rPr>
      </w:pPr>
      <w:r w:rsidRPr="000D32A3">
        <w:rPr>
          <w:rFonts w:ascii="仿宋" w:hAnsi="仿宋" w:hint="eastAsia"/>
        </w:rPr>
        <w:t>科技创新</w:t>
      </w:r>
      <w:proofErr w:type="gramStart"/>
      <w:r w:rsidRPr="000D32A3">
        <w:rPr>
          <w:rFonts w:ascii="仿宋" w:hAnsi="仿宋" w:hint="eastAsia"/>
        </w:rPr>
        <w:t>催先进</w:t>
      </w:r>
      <w:proofErr w:type="gramEnd"/>
      <w:r w:rsidRPr="000D32A3">
        <w:rPr>
          <w:rFonts w:ascii="仿宋" w:hAnsi="仿宋" w:hint="eastAsia"/>
        </w:rPr>
        <w:t>生产力对经济全球化的产生和发展起决定作用，并深刻影响着全球的经济结构和经济发展。当今世界，新一轮科技革命与产业变革正在深入推进，数字经济与实体经济深度融合，各国之间围绕产业、技术特别是关键核心技术的竞争日趋激烈。以科技创新驱动产业创新，加快推进新型工业化，持续推动产业结构优化升级，大力推动创新链、产业链、资金链、人才链“四链”融合，大力推动数字技术与实体经济深度融合，全面推动工业绿色发展，赋能支柱产业迭代升级、新兴产业培育壮大、未来产业前瞻布局，打造具有核心竞争力的优势产业集群，加快构建具有智能化、绿色化、融合化特征和符合完整性、先进性、安全性要求的高质量现代化产业体系，形成并发展先进程度跃迁的新质生产力，从而为全球生产力创新性可持续发展贡献中国方案。</w:t>
      </w:r>
    </w:p>
    <w:p w:rsidR="000D32A3" w:rsidRPr="00876F3D" w:rsidRDefault="000D32A3" w:rsidP="00876F3D">
      <w:pPr>
        <w:rPr>
          <w:rFonts w:ascii="黑体" w:eastAsia="黑体" w:hAnsi="黑体"/>
          <w:bCs/>
          <w:sz w:val="28"/>
          <w:szCs w:val="28"/>
        </w:rPr>
      </w:pPr>
      <w:r w:rsidRPr="00876F3D">
        <w:rPr>
          <w:rFonts w:ascii="黑体" w:eastAsia="黑体" w:hAnsi="黑体" w:hint="eastAsia"/>
          <w:bCs/>
          <w:sz w:val="28"/>
          <w:szCs w:val="28"/>
        </w:rPr>
        <w:t>现实作用</w:t>
      </w:r>
    </w:p>
    <w:p w:rsidR="00F16AA1" w:rsidRPr="00F16AA1" w:rsidRDefault="00401E8D" w:rsidP="00F16AA1">
      <w:pPr>
        <w:rPr>
          <w:rFonts w:ascii="微软雅黑" w:eastAsia="微软雅黑" w:hAnsi="微软雅黑"/>
          <w:i/>
        </w:rPr>
      </w:pPr>
      <w:r>
        <w:rPr>
          <w:rFonts w:ascii="微软雅黑" w:eastAsia="微软雅黑" w:hAnsi="微软雅黑" w:hint="eastAsia"/>
          <w:i/>
        </w:rPr>
        <w:t>1、</w:t>
      </w:r>
      <w:r w:rsidR="000D32A3" w:rsidRPr="00F16AA1">
        <w:rPr>
          <w:rFonts w:ascii="微软雅黑" w:eastAsia="微软雅黑" w:hAnsi="微软雅黑" w:hint="eastAsia"/>
          <w:i/>
        </w:rPr>
        <w:t>形成新质生产力需要壮大战略性新兴产业、积极发展未来产业。</w:t>
      </w:r>
    </w:p>
    <w:p w:rsidR="000D32A3" w:rsidRPr="000D32A3" w:rsidRDefault="000D32A3" w:rsidP="000D32A3">
      <w:pPr>
        <w:widowControl/>
        <w:jc w:val="left"/>
        <w:rPr>
          <w:rFonts w:ascii="仿宋" w:hAnsi="仿宋"/>
        </w:rPr>
      </w:pPr>
      <w:r w:rsidRPr="000D32A3">
        <w:rPr>
          <w:rFonts w:ascii="仿宋" w:hAnsi="仿宋" w:hint="eastAsia"/>
        </w:rPr>
        <w:lastRenderedPageBreak/>
        <w:t>战略性新兴产业知识技术密集、物质资源消耗少、成长潜力大、综合效益好，是具有重大引领带动作用的产业，包括新一代信息技术、生物技术、新能源、新材料、高端装备、新能源汽车、绿色环保以及天空海洋产业等。2022年，我国战略性新兴产业增加值占国内生产总值比重超过13%，其中规模以上工业战略性新兴产业增加值增速快于规模以上工业增加值增速。战略性新兴产业处在科技和经济发展前沿，对经济社会全局和长远发展具有重大引领带动作用，在很大程度上决定着一个国家或地区的综合实力特别是核心竞争力。未来产业代表着未来科技和产业发展新方向，是在新一轮科技革命和产业变革中赢得先机的关键所在，是全球创新版图和经济格局变迁中最活跃的力量，是实现创新引领发展的重要抓手。“十四五”规划纲要提出“前瞻谋划未来产业”。对未来产业不仅要精准“选种”、精心“播种”，更要悉心“育种”、用心“培苗”，让其更好生根发芽、茁壮成长。</w:t>
      </w:r>
    </w:p>
    <w:p w:rsidR="00F16AA1" w:rsidRPr="00F16AA1" w:rsidRDefault="00401E8D" w:rsidP="00F16AA1">
      <w:pPr>
        <w:rPr>
          <w:rFonts w:ascii="微软雅黑" w:eastAsia="微软雅黑" w:hAnsi="微软雅黑"/>
          <w:i/>
        </w:rPr>
      </w:pPr>
      <w:r>
        <w:rPr>
          <w:rFonts w:ascii="微软雅黑" w:eastAsia="微软雅黑" w:hAnsi="微软雅黑" w:hint="eastAsia"/>
          <w:i/>
        </w:rPr>
        <w:t>2、</w:t>
      </w:r>
      <w:r w:rsidR="000D32A3" w:rsidRPr="00F16AA1">
        <w:rPr>
          <w:rFonts w:ascii="微软雅黑" w:eastAsia="微软雅黑" w:hAnsi="微软雅黑" w:hint="eastAsia"/>
          <w:i/>
        </w:rPr>
        <w:t>加快形成新质生产力是塑造发展新动能新优势的必然要求。</w:t>
      </w:r>
    </w:p>
    <w:p w:rsidR="000D32A3" w:rsidRPr="000D32A3" w:rsidRDefault="000D32A3" w:rsidP="000D32A3">
      <w:pPr>
        <w:widowControl/>
        <w:jc w:val="left"/>
        <w:rPr>
          <w:rFonts w:ascii="仿宋" w:hAnsi="仿宋"/>
        </w:rPr>
      </w:pPr>
      <w:r w:rsidRPr="000D32A3">
        <w:rPr>
          <w:rFonts w:ascii="仿宋" w:hAnsi="仿宋" w:hint="eastAsia"/>
        </w:rPr>
        <w:t>人类历史上每一次重大科技进步，都带来经济社会发展的量变与质变。进入21世纪以来，全球科技创新进入空前密集活跃的时期，科技对国家命运、经济社会发展和百姓民生的影响范围之大、程度之深前所未有。如何挺立时代潮头、破解发展难题？必须向科技创新要答案。谁在科技创新上先行一步，谁就能拥有引领发展的主动权。新质生产力是科技创新在其中起主导作用的生产力，是符合高质量发展要求的生产力。其主要载体是产业，核心引擎是创新。新质生产力的“新”主要包括四个维度：一是新劳动者。不同于传统以简单重复劳动为主的普通技术工人，参与新质生产力的劳动者是能够充分利用现代技术、适应现代高端先进设备、具有知识快速迭代能力的新型人才。二是新劳动对象。与新质生产力相适应的劳动资料和劳动对象，不仅包括物质形态的高端智能设备，还包括数据等新型生产要素和新劳动对象。三是新劳动工具，如人工智能、虚拟现实和增强现实设备、自动化制造设备等。四是新型基础设施。要适应科技创新范式变革、模式重构的新需求，统筹布局大科学装置，围绕促进战略性新兴产业和未来产业发展，优化升级传统基础设施，完善新型基础设施。</w:t>
      </w:r>
    </w:p>
    <w:p w:rsidR="000D32A3" w:rsidRPr="00876F3D" w:rsidRDefault="000D32A3" w:rsidP="00876F3D">
      <w:pPr>
        <w:rPr>
          <w:rFonts w:ascii="黑体" w:eastAsia="黑体" w:hAnsi="黑体"/>
          <w:bCs/>
          <w:sz w:val="28"/>
          <w:szCs w:val="28"/>
        </w:rPr>
      </w:pPr>
      <w:r w:rsidRPr="00876F3D">
        <w:rPr>
          <w:rFonts w:ascii="黑体" w:eastAsia="黑体" w:hAnsi="黑体" w:hint="eastAsia"/>
          <w:bCs/>
          <w:sz w:val="28"/>
          <w:szCs w:val="28"/>
        </w:rPr>
        <w:t>基本特征</w:t>
      </w:r>
    </w:p>
    <w:p w:rsidR="000D32A3" w:rsidRPr="000D32A3" w:rsidRDefault="000D32A3" w:rsidP="000D32A3">
      <w:pPr>
        <w:widowControl/>
        <w:jc w:val="left"/>
        <w:rPr>
          <w:rFonts w:ascii="仿宋" w:hAnsi="仿宋"/>
        </w:rPr>
      </w:pPr>
      <w:r w:rsidRPr="000D32A3">
        <w:rPr>
          <w:rFonts w:ascii="仿宋" w:hAnsi="仿宋" w:hint="eastAsia"/>
        </w:rPr>
        <w:t>历史唯物主义强调，生产力是人类改造自然、征服自然的能力，是推动人类文明不断向前发展的决定力量和动力源泉。回顾整个人类社会历史进程，其实就是社会生产力从低级到高级、从落后到先进的不断发展的过程。传统生产力条件下的经济增长主要依靠大量的资源投入，依靠高度消耗的资源能源。所谓传统生产力是以第一次和第二次科技革命和产业革命为基础，以机械化、电气化、化石能源、黑色化（或者说灰色化，即资源消耗多、环境污染比较严重）、不可持续为主要特征。区别于传统生产力的概念，新质生产力涉及领域新、技术含量高、知识密度大，是传统生产力在信息化、智能化生产条件下因科技持续突破创新与产业不断升级发展所衍生的新形式和新质态。</w:t>
      </w:r>
    </w:p>
    <w:p w:rsidR="000D32A3" w:rsidRPr="000D32A3" w:rsidRDefault="000D32A3" w:rsidP="000D32A3">
      <w:pPr>
        <w:widowControl/>
        <w:jc w:val="left"/>
        <w:rPr>
          <w:rFonts w:ascii="仿宋" w:hAnsi="仿宋"/>
        </w:rPr>
      </w:pPr>
      <w:r w:rsidRPr="000D32A3">
        <w:rPr>
          <w:rFonts w:ascii="仿宋" w:hAnsi="仿宋" w:hint="eastAsia"/>
        </w:rPr>
        <w:t>新质生产力是当今时代先进生产力的具体体现形式，是科技创新交叉融合突破所产生的根本性成果，其“新”主要体现在新技术、新模式、新产业、新业态、新领域、新赛道、新动能、新优势，其“质”主要体现为高效能、高效率、高质量，关键主要是面向新兴领域，面向未来产业</w:t>
      </w:r>
      <w:proofErr w:type="gramStart"/>
      <w:r w:rsidR="006858FA" w:rsidRPr="000D32A3">
        <w:rPr>
          <w:rFonts w:ascii="仿宋" w:hAnsi="仿宋" w:hint="eastAsia"/>
        </w:rPr>
        <w:t>，</w:t>
      </w:r>
      <w:r w:rsidRPr="000D32A3">
        <w:rPr>
          <w:rFonts w:ascii="仿宋" w:hAnsi="仿宋" w:hint="eastAsia"/>
        </w:rPr>
        <w:t>着</w:t>
      </w:r>
      <w:proofErr w:type="gramEnd"/>
      <w:r w:rsidRPr="000D32A3">
        <w:rPr>
          <w:rFonts w:ascii="仿宋" w:hAnsi="仿宋" w:hint="eastAsia"/>
        </w:rPr>
        <w:t>力高质量发展。既是生产力现代化的具体体现，又是新的高水平的现代化生产力，即新类型、新结构、高技术水平、高质量、高效率、可持续的生产力，也就是以前没有的新的生产力的种类和结构，相比传统生产力而言其技术水平更高、质量更好、效率更高、更可持续。具体而言，主要包括人工智能、</w:t>
      </w:r>
      <w:proofErr w:type="gramStart"/>
      <w:r w:rsidRPr="000D32A3">
        <w:rPr>
          <w:rFonts w:ascii="仿宋" w:hAnsi="仿宋" w:hint="eastAsia"/>
        </w:rPr>
        <w:t>高端算力和</w:t>
      </w:r>
      <w:proofErr w:type="gramEnd"/>
      <w:r w:rsidRPr="000D32A3">
        <w:rPr>
          <w:rFonts w:ascii="仿宋" w:hAnsi="仿宋" w:hint="eastAsia"/>
        </w:rPr>
        <w:t>算法、高端芯片的设计生产技术和设备、高端机器人的生产和运用、5G和6G移动通信技术和设备、量子通信技术和设备、现代航空航天技术和设备、深海探测和开发技术和设备、高端发动机和盾</w:t>
      </w:r>
      <w:r w:rsidRPr="000D32A3">
        <w:rPr>
          <w:rFonts w:ascii="仿宋" w:hAnsi="仿宋" w:hint="eastAsia"/>
        </w:rPr>
        <w:lastRenderedPageBreak/>
        <w:t>构机等各类机械设备及操作控制系统、高端太阳能风能水能地热能海洋能生物质能等可再生能源技术和设备、核能和氢能等清洁能源、特高压输电技术和设备、现代生命医药技术和设备等，以及能够创新、开发、运用、改进和优化各种高新技术和发展高新产业、改造优化传统产业的高素质的劳动力。新质生产力以第三次和第四次科技革命和产业革命为基础，以信息化、网络化、数字化、智能化、自动化、绿色化、高效化为关键提升点。</w:t>
      </w:r>
    </w:p>
    <w:p w:rsidR="00F16AA1" w:rsidRPr="00F16AA1" w:rsidRDefault="004566A0" w:rsidP="00F16AA1">
      <w:pPr>
        <w:rPr>
          <w:rFonts w:ascii="微软雅黑" w:eastAsia="微软雅黑" w:hAnsi="微软雅黑"/>
          <w:i/>
        </w:rPr>
      </w:pPr>
      <w:r>
        <w:rPr>
          <w:rFonts w:ascii="微软雅黑" w:eastAsia="微软雅黑" w:hAnsi="微软雅黑" w:hint="eastAsia"/>
          <w:i/>
        </w:rPr>
        <w:t>1、</w:t>
      </w:r>
      <w:r w:rsidR="000D32A3" w:rsidRPr="00F16AA1">
        <w:rPr>
          <w:rFonts w:ascii="微软雅黑" w:eastAsia="微软雅黑" w:hAnsi="微软雅黑" w:hint="eastAsia"/>
          <w:i/>
        </w:rPr>
        <w:t>新质生产力是面向新兴领域的先进生产力。</w:t>
      </w:r>
    </w:p>
    <w:p w:rsidR="000D32A3" w:rsidRPr="000D32A3" w:rsidRDefault="000D32A3" w:rsidP="000D32A3">
      <w:pPr>
        <w:widowControl/>
        <w:jc w:val="left"/>
        <w:rPr>
          <w:rFonts w:ascii="仿宋" w:hAnsi="仿宋"/>
        </w:rPr>
      </w:pPr>
      <w:r w:rsidRPr="000D32A3">
        <w:rPr>
          <w:rFonts w:ascii="仿宋" w:hAnsi="仿宋" w:hint="eastAsia"/>
        </w:rPr>
        <w:t>新兴领域主要指随着新一轮科技革命和产业革命发展，在新一代高新技术群的孕育催化下，不断拓展、衍生并独立形成的领域，是认知域、物理域、信息域、产业域、资本域等综合构成的统一整体。每个新兴领域的形成、发展和演变，都建立在特定的历史条件和生产力发展水平上，曾经的新兴领域可能成为当前的传统领域，而现在的新兴领域也将成为未来的传统领域。新兴领域大多孕育脱胎于传统领域，但其发展演变过程，反映了不同时代最先进生产力的发展要求，在当前的时代发展阶段和科技创新背景下，着力培育好新一代信息技术、生物技术、新能源、新材料、高端装备、新能源汽车、绿色环保以及航空航天、海洋装备等战略新兴产业，即体现了新质生产力的发展要求。</w:t>
      </w:r>
    </w:p>
    <w:p w:rsidR="00F16AA1" w:rsidRPr="00F16AA1" w:rsidRDefault="004566A0" w:rsidP="00F16AA1">
      <w:pPr>
        <w:rPr>
          <w:rFonts w:ascii="微软雅黑" w:eastAsia="微软雅黑" w:hAnsi="微软雅黑"/>
          <w:i/>
        </w:rPr>
      </w:pPr>
      <w:r>
        <w:rPr>
          <w:rFonts w:ascii="微软雅黑" w:eastAsia="微软雅黑" w:hAnsi="微软雅黑" w:hint="eastAsia"/>
          <w:i/>
        </w:rPr>
        <w:t>2、</w:t>
      </w:r>
      <w:r w:rsidR="000D32A3" w:rsidRPr="00F16AA1">
        <w:rPr>
          <w:rFonts w:ascii="微软雅黑" w:eastAsia="微软雅黑" w:hAnsi="微软雅黑" w:hint="eastAsia"/>
          <w:i/>
        </w:rPr>
        <w:t>新质生产力是面向未来产业的先进生产力。</w:t>
      </w:r>
    </w:p>
    <w:p w:rsidR="000D32A3" w:rsidRPr="000D32A3" w:rsidRDefault="000D32A3" w:rsidP="000D32A3">
      <w:pPr>
        <w:widowControl/>
        <w:jc w:val="left"/>
        <w:rPr>
          <w:rFonts w:ascii="仿宋" w:hAnsi="仿宋"/>
        </w:rPr>
      </w:pPr>
      <w:r w:rsidRPr="000D32A3">
        <w:rPr>
          <w:rFonts w:ascii="仿宋" w:hAnsi="仿宋" w:hint="eastAsia"/>
        </w:rPr>
        <w:t>科技是第一生产力，是先进生产力的集中体现和主要标志。人类历史上每一次重大科技进步都改进了劳动工具，提高了劳动者素质，带来劳动生产率极大提高、产业结构快速优化升级，给经济社会发展增添强大驱动力。而新质生产力作为当前先进生产力的具体表现形式，推动着未来产业的诞生和成长，也有赖于类脑智能、量子信息、基因技术、未来网络、深海空天开发、氢能与储能等未来产业的培育，并在主导产业和支柱产业持续迭代优化升级的过程中不断更新和壮大。从人工智能、工业互联网到大数据，纵观近年来全球经济增长的新产业引擎，无一不是由新技术带来的新产业，进而形成的新生产力。</w:t>
      </w:r>
    </w:p>
    <w:p w:rsidR="00F16AA1" w:rsidRPr="00F16AA1" w:rsidRDefault="004566A0" w:rsidP="00F16AA1">
      <w:pPr>
        <w:rPr>
          <w:rFonts w:ascii="微软雅黑" w:eastAsia="微软雅黑" w:hAnsi="微软雅黑"/>
          <w:i/>
        </w:rPr>
      </w:pPr>
      <w:r>
        <w:rPr>
          <w:rFonts w:ascii="微软雅黑" w:eastAsia="微软雅黑" w:hAnsi="微软雅黑" w:hint="eastAsia"/>
          <w:i/>
        </w:rPr>
        <w:t>3、</w:t>
      </w:r>
      <w:r w:rsidR="000D32A3" w:rsidRPr="00F16AA1">
        <w:rPr>
          <w:rFonts w:ascii="微软雅黑" w:eastAsia="微软雅黑" w:hAnsi="微软雅黑" w:hint="eastAsia"/>
          <w:i/>
        </w:rPr>
        <w:t>新质生产力</w:t>
      </w:r>
      <w:proofErr w:type="gramStart"/>
      <w:r w:rsidR="000D32A3" w:rsidRPr="00F16AA1">
        <w:rPr>
          <w:rFonts w:ascii="微软雅黑" w:eastAsia="微软雅黑" w:hAnsi="微软雅黑" w:hint="eastAsia"/>
          <w:i/>
        </w:rPr>
        <w:t>是着</w:t>
      </w:r>
      <w:proofErr w:type="gramEnd"/>
      <w:r w:rsidR="000D32A3" w:rsidRPr="00F16AA1">
        <w:rPr>
          <w:rFonts w:ascii="微软雅黑" w:eastAsia="微软雅黑" w:hAnsi="微软雅黑" w:hint="eastAsia"/>
          <w:i/>
        </w:rPr>
        <w:t>力高质量发展的先进生产力。</w:t>
      </w:r>
    </w:p>
    <w:p w:rsidR="000D32A3" w:rsidRPr="000D32A3" w:rsidRDefault="000D32A3" w:rsidP="000D32A3">
      <w:pPr>
        <w:widowControl/>
        <w:jc w:val="left"/>
        <w:rPr>
          <w:rFonts w:ascii="仿宋" w:hAnsi="仿宋"/>
        </w:rPr>
      </w:pPr>
      <w:r w:rsidRPr="000D32A3">
        <w:rPr>
          <w:rFonts w:ascii="仿宋" w:hAnsi="仿宋" w:hint="eastAsia"/>
        </w:rPr>
        <w:t>新质生产力的形成和发展依靠科技创新，而创新驱动发展是我国实现高质量发展的前提和保障，以创新驱动发展为主要特征的高质量发展是推进中国式现代化的必由之路。没有创新驱动高质量发展，就没有中国式现代化道路的成功实践。因此，党的二十大报告强调，坚持创新在我国现代化建设全局中的核心地位，加快实施创新驱动发展战略，坚持面向世界科技前沿、面向经济主战场、面向国家重大需求、面向人民生命健康，加快实现高水平科技自立自强。以国家战略需求为导向，积聚力量进行原创性引领性科技攻关，坚决打赢关键核心技术攻坚战。当然，高质量发展还包括协调发展、绿色发展、开放发展和共享发展等内容，但这些都需要通过创新驱动发展来实现和引领，需要通过新质生产力来推动和支撑。</w:t>
      </w:r>
    </w:p>
    <w:p w:rsidR="000D32A3" w:rsidRPr="00876F3D" w:rsidRDefault="000D32A3" w:rsidP="00876F3D">
      <w:pPr>
        <w:rPr>
          <w:rFonts w:ascii="黑体" w:eastAsia="黑体" w:hAnsi="黑体"/>
          <w:bCs/>
          <w:sz w:val="28"/>
          <w:szCs w:val="28"/>
        </w:rPr>
      </w:pPr>
      <w:r w:rsidRPr="00876F3D">
        <w:rPr>
          <w:rFonts w:ascii="黑体" w:eastAsia="黑体" w:hAnsi="黑体" w:hint="eastAsia"/>
          <w:bCs/>
          <w:sz w:val="28"/>
          <w:szCs w:val="28"/>
        </w:rPr>
        <w:t>重要特征</w:t>
      </w:r>
    </w:p>
    <w:p w:rsidR="00F16AA1" w:rsidRPr="00F16AA1" w:rsidRDefault="004566A0" w:rsidP="00F16AA1">
      <w:pPr>
        <w:rPr>
          <w:rFonts w:ascii="微软雅黑" w:eastAsia="微软雅黑" w:hAnsi="微软雅黑"/>
          <w:i/>
        </w:rPr>
      </w:pPr>
      <w:r>
        <w:rPr>
          <w:rFonts w:ascii="微软雅黑" w:eastAsia="微软雅黑" w:hAnsi="微软雅黑" w:hint="eastAsia"/>
          <w:i/>
        </w:rPr>
        <w:t>1、</w:t>
      </w:r>
      <w:r w:rsidR="000D32A3" w:rsidRPr="00F16AA1">
        <w:rPr>
          <w:rFonts w:ascii="微软雅黑" w:eastAsia="微软雅黑" w:hAnsi="微软雅黑" w:hint="eastAsia"/>
          <w:i/>
        </w:rPr>
        <w:t>具有强大的战略引领力。</w:t>
      </w:r>
    </w:p>
    <w:p w:rsidR="000D32A3" w:rsidRPr="000D32A3" w:rsidRDefault="000D32A3" w:rsidP="000D32A3">
      <w:pPr>
        <w:widowControl/>
        <w:jc w:val="left"/>
        <w:rPr>
          <w:rFonts w:ascii="仿宋" w:hAnsi="仿宋"/>
        </w:rPr>
      </w:pPr>
      <w:r w:rsidRPr="000D32A3">
        <w:rPr>
          <w:rFonts w:ascii="仿宋" w:hAnsi="仿宋" w:hint="eastAsia"/>
        </w:rPr>
        <w:t>在带动一个国家或地区经济社会发展方面具有重大引领作用，引导一个国家或地区产业发展方向，形成头雁效应并辐射相关产业，形成具有强大</w:t>
      </w:r>
      <w:proofErr w:type="gramStart"/>
      <w:r w:rsidRPr="000D32A3">
        <w:rPr>
          <w:rFonts w:ascii="仿宋" w:hAnsi="仿宋" w:hint="eastAsia"/>
        </w:rPr>
        <w:t>引领力</w:t>
      </w:r>
      <w:proofErr w:type="gramEnd"/>
      <w:r w:rsidRPr="000D32A3">
        <w:rPr>
          <w:rFonts w:ascii="仿宋" w:hAnsi="仿宋" w:hint="eastAsia"/>
        </w:rPr>
        <w:t>的战略性新兴产业集群。新兴产业未必都是战略性产业，战略性新兴产业既要站在科技进步前沿，又要对经济社会发展具有战略带动作用。</w:t>
      </w:r>
    </w:p>
    <w:p w:rsidR="00F16AA1" w:rsidRPr="00F16AA1" w:rsidRDefault="004566A0" w:rsidP="00F16AA1">
      <w:pPr>
        <w:rPr>
          <w:rFonts w:ascii="微软雅黑" w:eastAsia="微软雅黑" w:hAnsi="微软雅黑"/>
          <w:i/>
        </w:rPr>
      </w:pPr>
      <w:r>
        <w:rPr>
          <w:rFonts w:ascii="微软雅黑" w:eastAsia="微软雅黑" w:hAnsi="微软雅黑"/>
          <w:i/>
        </w:rPr>
        <w:t>2</w:t>
      </w:r>
      <w:r>
        <w:rPr>
          <w:rFonts w:ascii="微软雅黑" w:eastAsia="微软雅黑" w:hAnsi="微软雅黑" w:hint="eastAsia"/>
          <w:i/>
        </w:rPr>
        <w:t>、</w:t>
      </w:r>
      <w:r w:rsidR="000D32A3" w:rsidRPr="00F16AA1">
        <w:rPr>
          <w:rFonts w:ascii="微软雅黑" w:eastAsia="微软雅黑" w:hAnsi="微软雅黑" w:hint="eastAsia"/>
          <w:i/>
        </w:rPr>
        <w:t>具有不可估量的发展潜力。</w:t>
      </w:r>
    </w:p>
    <w:p w:rsidR="000D32A3" w:rsidRPr="000D32A3" w:rsidRDefault="000D32A3" w:rsidP="000D32A3">
      <w:pPr>
        <w:widowControl/>
        <w:jc w:val="left"/>
        <w:rPr>
          <w:rFonts w:ascii="仿宋" w:hAnsi="仿宋"/>
        </w:rPr>
      </w:pPr>
      <w:r w:rsidRPr="000D32A3">
        <w:rPr>
          <w:rFonts w:ascii="仿宋" w:hAnsi="仿宋" w:hint="eastAsia"/>
        </w:rPr>
        <w:lastRenderedPageBreak/>
        <w:t>战略性新兴产业不是静态的、停滞的、固定不变的，而是动态的、发展变化的，“新兴”的内涵处于不断衍变过程中。19世纪和20世纪钢铁、石油等都成为不少国家的新兴产业，甚至成为综合国力的重要标志，21世纪，新能源、新材料、智能制造、电子信息等成为衡量一个国家综合国力的重要标志。可以预料，未来世界一定会在今天各种“新”产业的基础上产生出更新的能源、更新的材料、更先进的制造和更先进的电子信息以及因颠覆性技术而产生的新产业。</w:t>
      </w:r>
    </w:p>
    <w:p w:rsidR="00F16AA1" w:rsidRPr="00F16AA1" w:rsidRDefault="004566A0" w:rsidP="00F16AA1">
      <w:pPr>
        <w:rPr>
          <w:rFonts w:ascii="微软雅黑" w:eastAsia="微软雅黑" w:hAnsi="微软雅黑"/>
          <w:i/>
        </w:rPr>
      </w:pPr>
      <w:r>
        <w:rPr>
          <w:rFonts w:ascii="微软雅黑" w:eastAsia="微软雅黑" w:hAnsi="微软雅黑" w:hint="eastAsia"/>
          <w:i/>
        </w:rPr>
        <w:t>3、</w:t>
      </w:r>
      <w:r w:rsidR="000D32A3" w:rsidRPr="00F16AA1">
        <w:rPr>
          <w:rFonts w:ascii="微软雅黑" w:eastAsia="微软雅黑" w:hAnsi="微软雅黑" w:hint="eastAsia"/>
          <w:i/>
        </w:rPr>
        <w:t>具有显著的竞争优势。</w:t>
      </w:r>
    </w:p>
    <w:p w:rsidR="000D32A3" w:rsidRPr="000D32A3" w:rsidRDefault="000D32A3" w:rsidP="000D32A3">
      <w:pPr>
        <w:widowControl/>
        <w:jc w:val="left"/>
        <w:rPr>
          <w:rFonts w:ascii="仿宋" w:hAnsi="仿宋"/>
        </w:rPr>
      </w:pPr>
      <w:r w:rsidRPr="000D32A3">
        <w:rPr>
          <w:rFonts w:ascii="仿宋" w:hAnsi="仿宋" w:hint="eastAsia"/>
        </w:rPr>
        <w:t>战略性新兴产业在很大程度上决定着一个国家或地区的综合国力特别是核心竞争力，国与国之间的竞争一定意义上就是战略性新兴产业的竞争，就是未来产业发展速度和规模的竞争，也就是新质生产力的竞争。战略性新兴产业就是国际市场竞争中可以出击对手的“拳头”，未来产业就是未来可以形成强大出击力的“拳头”。未来产业虽然处于孕育孵化阶段，但它代表产业发展方向，具有巨大的潜力和高成长性、战略性和先导性，犹如一棵刚破土而出的小松树，必将成长为参天大树。</w:t>
      </w:r>
    </w:p>
    <w:p w:rsidR="000D32A3" w:rsidRPr="00876F3D" w:rsidRDefault="000D32A3" w:rsidP="00876F3D">
      <w:pPr>
        <w:rPr>
          <w:rFonts w:ascii="黑体" w:eastAsia="黑体" w:hAnsi="黑体"/>
          <w:bCs/>
          <w:sz w:val="28"/>
          <w:szCs w:val="28"/>
        </w:rPr>
      </w:pPr>
      <w:r w:rsidRPr="00876F3D">
        <w:rPr>
          <w:rFonts w:ascii="黑体" w:eastAsia="黑体" w:hAnsi="黑体" w:hint="eastAsia"/>
          <w:bCs/>
          <w:sz w:val="28"/>
          <w:szCs w:val="28"/>
        </w:rPr>
        <w:t>重要意义</w:t>
      </w:r>
    </w:p>
    <w:p w:rsidR="000D32A3" w:rsidRPr="000D32A3" w:rsidRDefault="000D32A3" w:rsidP="000D32A3">
      <w:pPr>
        <w:widowControl/>
        <w:jc w:val="left"/>
        <w:rPr>
          <w:rFonts w:ascii="仿宋" w:hAnsi="仿宋"/>
        </w:rPr>
      </w:pPr>
      <w:r w:rsidRPr="000D32A3">
        <w:rPr>
          <w:rFonts w:ascii="仿宋" w:hAnsi="仿宋" w:hint="eastAsia"/>
        </w:rPr>
        <w:t>新质生产力的提出，不仅意味着以科技创新推动产业创新，更体现了以产业升级构筑新竞争优势、赢得发展的主动权。为新时代新征程推动东北全面振兴指明了方向，对全国其他地区同样具有重大指导意义。</w:t>
      </w:r>
    </w:p>
    <w:p w:rsidR="000D32A3" w:rsidRPr="00F16AA1" w:rsidRDefault="004566A0" w:rsidP="00F16AA1">
      <w:pPr>
        <w:rPr>
          <w:rFonts w:ascii="微软雅黑" w:eastAsia="微软雅黑" w:hAnsi="微软雅黑"/>
          <w:i/>
        </w:rPr>
      </w:pPr>
      <w:r>
        <w:rPr>
          <w:rFonts w:ascii="微软雅黑" w:eastAsia="微软雅黑" w:hAnsi="微软雅黑" w:hint="eastAsia"/>
          <w:i/>
        </w:rPr>
        <w:t>1、</w:t>
      </w:r>
      <w:r w:rsidR="000D32A3" w:rsidRPr="00F16AA1">
        <w:rPr>
          <w:rFonts w:ascii="微软雅黑" w:eastAsia="微软雅黑" w:hAnsi="微软雅黑" w:hint="eastAsia"/>
          <w:i/>
        </w:rPr>
        <w:t>形成新质生产力，要依托科技，依托创新</w:t>
      </w:r>
    </w:p>
    <w:p w:rsidR="000D32A3" w:rsidRPr="000D32A3" w:rsidRDefault="000D32A3" w:rsidP="000D32A3">
      <w:pPr>
        <w:widowControl/>
        <w:jc w:val="left"/>
        <w:rPr>
          <w:rFonts w:ascii="仿宋" w:hAnsi="仿宋"/>
        </w:rPr>
      </w:pPr>
      <w:r w:rsidRPr="000D32A3">
        <w:rPr>
          <w:rFonts w:ascii="仿宋" w:hAnsi="仿宋" w:hint="eastAsia"/>
        </w:rPr>
        <w:t>从人工智能、工业互联网到大数据，纵观近年来全球经济增长的新引擎，无一不是由新技术带来的新产业，进而形成的新生产力。</w:t>
      </w:r>
    </w:p>
    <w:p w:rsidR="000D32A3" w:rsidRPr="000D32A3" w:rsidRDefault="000D32A3" w:rsidP="000D32A3">
      <w:pPr>
        <w:widowControl/>
        <w:jc w:val="left"/>
        <w:rPr>
          <w:rFonts w:ascii="仿宋" w:hAnsi="仿宋"/>
        </w:rPr>
      </w:pPr>
      <w:r w:rsidRPr="000D32A3">
        <w:rPr>
          <w:rFonts w:ascii="仿宋" w:hAnsi="仿宋" w:hint="eastAsia"/>
        </w:rPr>
        <w:t>新一轮科技革命和产业变革与中国加快转变经济发展方式形成历史性交汇，面向前沿领域及早布局，提前谋划变革性技术，夯实未来发展的技术基础，是不容错过的重要战略机遇，是抢占发展制高点、培育竞争新优势的先手棋。</w:t>
      </w:r>
    </w:p>
    <w:p w:rsidR="000D32A3" w:rsidRPr="00F16AA1" w:rsidRDefault="004566A0" w:rsidP="00F16AA1">
      <w:pPr>
        <w:rPr>
          <w:rFonts w:ascii="微软雅黑" w:eastAsia="微软雅黑" w:hAnsi="微软雅黑"/>
          <w:i/>
        </w:rPr>
      </w:pPr>
      <w:r>
        <w:rPr>
          <w:rFonts w:ascii="微软雅黑" w:eastAsia="微软雅黑" w:hAnsi="微软雅黑" w:hint="eastAsia"/>
          <w:i/>
        </w:rPr>
        <w:t>2、</w:t>
      </w:r>
      <w:r w:rsidR="000D32A3" w:rsidRPr="00F16AA1">
        <w:rPr>
          <w:rFonts w:ascii="微软雅黑" w:eastAsia="微软雅黑" w:hAnsi="微软雅黑" w:hint="eastAsia"/>
          <w:i/>
        </w:rPr>
        <w:t>形成新质生产力，关键在培育形成新产业</w:t>
      </w:r>
    </w:p>
    <w:p w:rsidR="000D32A3" w:rsidRPr="000D32A3" w:rsidRDefault="000D32A3" w:rsidP="000D32A3">
      <w:pPr>
        <w:widowControl/>
        <w:jc w:val="left"/>
        <w:rPr>
          <w:rFonts w:ascii="仿宋" w:hAnsi="仿宋"/>
        </w:rPr>
      </w:pPr>
      <w:r w:rsidRPr="000D32A3">
        <w:rPr>
          <w:rFonts w:ascii="仿宋" w:hAnsi="仿宋" w:hint="eastAsia"/>
        </w:rPr>
        <w:t>经济发展从来不靠一个产业“打天下”，而是百舸争流、千帆竞发，主导产业和支柱产业在持续迭代优化。光伏、新能源汽车、高端装备……这些促进当前经济增长的重要引擎，都是从曾经的“未来产业”、战略性新兴产业发展而来。</w:t>
      </w:r>
    </w:p>
    <w:p w:rsidR="006C3920" w:rsidRDefault="000D32A3" w:rsidP="000D32A3">
      <w:pPr>
        <w:widowControl/>
        <w:jc w:val="left"/>
        <w:rPr>
          <w:rFonts w:ascii="仿宋" w:hAnsi="仿宋"/>
        </w:rPr>
      </w:pPr>
      <w:r w:rsidRPr="000D32A3">
        <w:rPr>
          <w:rFonts w:ascii="仿宋" w:hAnsi="仿宋" w:hint="eastAsia"/>
        </w:rPr>
        <w:t>发挥科技创新的增量器作用，加大源头性技术储备，积极培育未来产业，加快形成新质生产力，将为中国经济高质量发展构建新竞争力和持久动力</w:t>
      </w:r>
      <w:r>
        <w:rPr>
          <w:rFonts w:ascii="仿宋" w:hAnsi="仿宋" w:hint="eastAsia"/>
        </w:rPr>
        <w:t>。</w:t>
      </w:r>
    </w:p>
    <w:p w:rsidR="00B547D7" w:rsidRDefault="00B547D7" w:rsidP="00B547D7">
      <w:pPr>
        <w:rPr>
          <w:rFonts w:ascii="仿宋" w:hAnsi="仿宋"/>
        </w:rPr>
      </w:pPr>
      <w:r>
        <w:rPr>
          <w:rFonts w:ascii="仿宋" w:hAnsi="仿宋" w:hint="eastAsia"/>
        </w:rPr>
        <w:t>六大关键词中英文对照表</w:t>
      </w:r>
    </w:p>
    <w:p w:rsidR="00B547D7" w:rsidRDefault="00DA5C21" w:rsidP="00B547D7">
      <w:pPr>
        <w:rPr>
          <w:rFonts w:ascii="仿宋" w:hAnsi="仿宋"/>
        </w:rPr>
      </w:pPr>
      <w:r>
        <w:rPr>
          <w:rFonts w:ascii="仿宋" w:hAnsi="仿宋" w:hint="eastAsia"/>
        </w:rPr>
        <w:t>新质生产力</w:t>
      </w:r>
      <w:r w:rsidR="00B547D7">
        <w:rPr>
          <w:rFonts w:ascii="仿宋" w:hAnsi="仿宋" w:hint="eastAsia"/>
        </w:rPr>
        <w:tab/>
      </w:r>
      <w:r w:rsidR="00EA786D">
        <w:rPr>
          <w:rFonts w:ascii="仿宋" w:hAnsi="仿宋" w:hint="eastAsia"/>
        </w:rPr>
        <w:t>N</w:t>
      </w:r>
      <w:r w:rsidR="00EA786D" w:rsidRPr="00EA786D">
        <w:rPr>
          <w:rFonts w:ascii="仿宋" w:hAnsi="仿宋"/>
        </w:rPr>
        <w:t>ovel</w:t>
      </w:r>
      <w:r w:rsidR="00B547D7">
        <w:rPr>
          <w:rFonts w:ascii="仿宋" w:hAnsi="仿宋" w:hint="eastAsia"/>
        </w:rPr>
        <w:t xml:space="preserve"> </w:t>
      </w:r>
      <w:r w:rsidR="00EA786D">
        <w:rPr>
          <w:rFonts w:ascii="仿宋" w:hAnsi="仿宋" w:hint="eastAsia"/>
        </w:rPr>
        <w:t>P</w:t>
      </w:r>
      <w:r w:rsidR="00EA786D" w:rsidRPr="00EA786D">
        <w:rPr>
          <w:rFonts w:ascii="仿宋" w:hAnsi="仿宋"/>
        </w:rPr>
        <w:t xml:space="preserve">roductive </w:t>
      </w:r>
      <w:r w:rsidR="00EA786D">
        <w:rPr>
          <w:rFonts w:ascii="仿宋" w:hAnsi="仿宋" w:hint="eastAsia"/>
        </w:rPr>
        <w:t>F</w:t>
      </w:r>
      <w:r w:rsidR="00EA786D" w:rsidRPr="00EA786D">
        <w:rPr>
          <w:rFonts w:ascii="仿宋" w:hAnsi="仿宋"/>
        </w:rPr>
        <w:t>orces</w:t>
      </w:r>
    </w:p>
    <w:p w:rsidR="00B547D7" w:rsidRPr="00EA786D" w:rsidRDefault="00DA5C21" w:rsidP="00EA786D">
      <w:pPr>
        <w:rPr>
          <w:rFonts w:ascii="仿宋" w:hAnsi="仿宋"/>
        </w:rPr>
      </w:pPr>
      <w:r w:rsidRPr="000D32A3">
        <w:rPr>
          <w:rFonts w:ascii="仿宋" w:hAnsi="仿宋" w:hint="eastAsia"/>
        </w:rPr>
        <w:t>新兴产业</w:t>
      </w:r>
      <w:r w:rsidR="00B547D7">
        <w:rPr>
          <w:rFonts w:ascii="仿宋" w:hAnsi="仿宋" w:hint="eastAsia"/>
        </w:rPr>
        <w:tab/>
      </w:r>
      <w:r w:rsidR="00EA786D">
        <w:rPr>
          <w:rFonts w:ascii="仿宋" w:hAnsi="仿宋" w:hint="eastAsia"/>
        </w:rPr>
        <w:t>N</w:t>
      </w:r>
      <w:r w:rsidR="00EA786D" w:rsidRPr="00EA786D">
        <w:rPr>
          <w:rFonts w:ascii="仿宋" w:hAnsi="仿宋"/>
        </w:rPr>
        <w:t xml:space="preserve">ew </w:t>
      </w:r>
      <w:r w:rsidR="00EA786D">
        <w:rPr>
          <w:rFonts w:ascii="仿宋" w:hAnsi="仿宋" w:hint="eastAsia"/>
        </w:rPr>
        <w:t>I</w:t>
      </w:r>
      <w:r w:rsidR="00EA786D" w:rsidRPr="00EA786D">
        <w:rPr>
          <w:rFonts w:ascii="仿宋" w:hAnsi="仿宋"/>
        </w:rPr>
        <w:t>ndustry</w:t>
      </w:r>
    </w:p>
    <w:p w:rsidR="00B547D7" w:rsidRPr="00EA786D" w:rsidRDefault="006953D2" w:rsidP="00EA786D">
      <w:pPr>
        <w:rPr>
          <w:rFonts w:ascii="仿宋" w:hAnsi="仿宋"/>
        </w:rPr>
      </w:pPr>
      <w:r w:rsidRPr="000D32A3">
        <w:rPr>
          <w:rFonts w:ascii="仿宋" w:hAnsi="仿宋" w:hint="eastAsia"/>
        </w:rPr>
        <w:t>人工智能</w:t>
      </w:r>
      <w:r w:rsidR="00B547D7">
        <w:rPr>
          <w:rFonts w:ascii="仿宋" w:hAnsi="仿宋" w:hint="eastAsia"/>
        </w:rPr>
        <w:tab/>
      </w:r>
      <w:r w:rsidR="00EA786D">
        <w:rPr>
          <w:rFonts w:ascii="仿宋" w:hAnsi="仿宋" w:hint="eastAsia"/>
        </w:rPr>
        <w:t>A</w:t>
      </w:r>
      <w:r w:rsidR="00EA786D" w:rsidRPr="00EA786D">
        <w:rPr>
          <w:rFonts w:ascii="仿宋" w:hAnsi="仿宋"/>
        </w:rPr>
        <w:t xml:space="preserve">rtificial </w:t>
      </w:r>
      <w:r w:rsidR="00EA786D">
        <w:rPr>
          <w:rFonts w:ascii="仿宋" w:hAnsi="仿宋" w:hint="eastAsia"/>
        </w:rPr>
        <w:t>I</w:t>
      </w:r>
      <w:r w:rsidR="00EA786D" w:rsidRPr="00EA786D">
        <w:rPr>
          <w:rFonts w:ascii="仿宋" w:hAnsi="仿宋"/>
        </w:rPr>
        <w:t>ntelligence</w:t>
      </w:r>
    </w:p>
    <w:p w:rsidR="00B547D7" w:rsidRPr="00EA786D" w:rsidRDefault="006953D2" w:rsidP="00EA786D">
      <w:pPr>
        <w:rPr>
          <w:rFonts w:ascii="仿宋" w:hAnsi="仿宋"/>
        </w:rPr>
      </w:pPr>
      <w:r w:rsidRPr="000D32A3">
        <w:rPr>
          <w:rFonts w:ascii="仿宋" w:hAnsi="仿宋" w:hint="eastAsia"/>
        </w:rPr>
        <w:t>虚拟现实</w:t>
      </w:r>
      <w:r w:rsidR="00B547D7">
        <w:rPr>
          <w:rFonts w:ascii="仿宋" w:hAnsi="仿宋" w:hint="eastAsia"/>
        </w:rPr>
        <w:tab/>
      </w:r>
      <w:r w:rsidR="00A65A25">
        <w:rPr>
          <w:rFonts w:ascii="仿宋" w:hAnsi="仿宋" w:hint="eastAsia"/>
        </w:rPr>
        <w:t>V</w:t>
      </w:r>
      <w:r w:rsidR="00A65A25" w:rsidRPr="00A65A25">
        <w:rPr>
          <w:rFonts w:ascii="仿宋" w:hAnsi="仿宋"/>
        </w:rPr>
        <w:t>isual</w:t>
      </w:r>
      <w:r w:rsidR="00B547D7" w:rsidRPr="00012FE3">
        <w:rPr>
          <w:rFonts w:ascii="仿宋" w:hAnsi="仿宋"/>
        </w:rPr>
        <w:t xml:space="preserve"> </w:t>
      </w:r>
      <w:r w:rsidR="00A65A25">
        <w:rPr>
          <w:rFonts w:ascii="仿宋" w:hAnsi="仿宋" w:hint="eastAsia"/>
        </w:rPr>
        <w:t>R</w:t>
      </w:r>
      <w:r w:rsidR="00EA786D" w:rsidRPr="00EA786D">
        <w:rPr>
          <w:rFonts w:ascii="仿宋" w:hAnsi="仿宋"/>
        </w:rPr>
        <w:t>eality</w:t>
      </w:r>
    </w:p>
    <w:p w:rsidR="00B547D7" w:rsidRDefault="006953D2" w:rsidP="00B547D7">
      <w:pPr>
        <w:rPr>
          <w:rFonts w:ascii="仿宋" w:hAnsi="仿宋"/>
        </w:rPr>
      </w:pPr>
      <w:r w:rsidRPr="000D32A3">
        <w:rPr>
          <w:rFonts w:ascii="仿宋" w:hAnsi="仿宋" w:hint="eastAsia"/>
        </w:rPr>
        <w:t>增强现实</w:t>
      </w:r>
      <w:r w:rsidR="00B547D7">
        <w:rPr>
          <w:rFonts w:ascii="仿宋" w:hAnsi="仿宋" w:hint="eastAsia"/>
        </w:rPr>
        <w:tab/>
      </w:r>
      <w:r w:rsidR="00A65A25">
        <w:rPr>
          <w:rFonts w:ascii="仿宋" w:hAnsi="仿宋" w:hint="eastAsia"/>
        </w:rPr>
        <w:t>E</w:t>
      </w:r>
      <w:r w:rsidR="00A65A25" w:rsidRPr="00A65A25">
        <w:rPr>
          <w:rFonts w:ascii="仿宋" w:hAnsi="仿宋"/>
        </w:rPr>
        <w:t>nhance</w:t>
      </w:r>
      <w:r w:rsidR="00A65A25" w:rsidRPr="00A65A25">
        <w:rPr>
          <w:rFonts w:ascii="仿宋" w:hAnsi="仿宋" w:hint="eastAsia"/>
        </w:rPr>
        <w:t xml:space="preserve"> </w:t>
      </w:r>
      <w:r w:rsidR="00A65A25">
        <w:rPr>
          <w:rFonts w:ascii="仿宋" w:hAnsi="仿宋" w:hint="eastAsia"/>
        </w:rPr>
        <w:t>R</w:t>
      </w:r>
      <w:r w:rsidR="00A65A25" w:rsidRPr="00EA786D">
        <w:rPr>
          <w:rFonts w:ascii="仿宋" w:hAnsi="仿宋"/>
        </w:rPr>
        <w:t>eality</w:t>
      </w:r>
    </w:p>
    <w:p w:rsidR="00B547D7" w:rsidRPr="00D73A37" w:rsidRDefault="006953D2" w:rsidP="00285B59">
      <w:pPr>
        <w:rPr>
          <w:rFonts w:ascii="仿宋" w:hAnsi="仿宋"/>
        </w:rPr>
      </w:pPr>
      <w:r w:rsidRPr="000D32A3">
        <w:rPr>
          <w:rFonts w:ascii="仿宋" w:hAnsi="仿宋" w:hint="eastAsia"/>
        </w:rPr>
        <w:t>新能源</w:t>
      </w:r>
      <w:r w:rsidR="00B547D7">
        <w:rPr>
          <w:rFonts w:ascii="仿宋" w:hAnsi="仿宋" w:hint="eastAsia"/>
        </w:rPr>
        <w:tab/>
      </w:r>
      <w:r w:rsidR="00D73A37">
        <w:rPr>
          <w:rFonts w:ascii="仿宋" w:hAnsi="仿宋" w:hint="eastAsia"/>
        </w:rPr>
        <w:t>New</w:t>
      </w:r>
      <w:r w:rsidR="00B547D7" w:rsidRPr="00A30418">
        <w:rPr>
          <w:rFonts w:ascii="仿宋" w:hAnsi="仿宋"/>
        </w:rPr>
        <w:t xml:space="preserve"> </w:t>
      </w:r>
      <w:r w:rsidR="00D73A37">
        <w:rPr>
          <w:rFonts w:ascii="仿宋" w:hAnsi="仿宋" w:hint="eastAsia"/>
        </w:rPr>
        <w:t>E</w:t>
      </w:r>
      <w:r w:rsidR="00D73A37" w:rsidRPr="00D73A37">
        <w:rPr>
          <w:rFonts w:ascii="仿宋" w:hAnsi="仿宋"/>
        </w:rPr>
        <w:t>nergy</w:t>
      </w:r>
      <w:r w:rsidR="00D73A37">
        <w:rPr>
          <w:rFonts w:ascii="仿宋" w:hAnsi="仿宋" w:hint="eastAsia"/>
        </w:rPr>
        <w:t>-</w:t>
      </w:r>
      <w:r w:rsidR="00D73A37" w:rsidRPr="00D73A37">
        <w:rPr>
          <w:rFonts w:ascii="仿宋" w:hAnsi="仿宋"/>
        </w:rPr>
        <w:t>source</w:t>
      </w:r>
    </w:p>
    <w:sectPr w:rsidR="00B547D7" w:rsidRPr="00D73A37">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0383" w:rsidRDefault="006F0383" w:rsidP="008E0C1F">
      <w:r>
        <w:separator/>
      </w:r>
    </w:p>
  </w:endnote>
  <w:endnote w:type="continuationSeparator" w:id="0">
    <w:p w:rsidR="006F0383" w:rsidRDefault="006F0383" w:rsidP="008E0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Franklin Gothic Medium">
    <w:panose1 w:val="020B0603020102020204"/>
    <w:charset w:val="00"/>
    <w:family w:val="swiss"/>
    <w:pitch w:val="variable"/>
    <w:sig w:usb0="00000287" w:usb1="00000000" w:usb2="00000000" w:usb3="00000000" w:csb0="0000009F"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0383" w:rsidRDefault="006F0383" w:rsidP="008E0C1F">
      <w:r>
        <w:separator/>
      </w:r>
    </w:p>
  </w:footnote>
  <w:footnote w:type="continuationSeparator" w:id="0">
    <w:p w:rsidR="006F0383" w:rsidRDefault="006F0383" w:rsidP="008E0C1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67D" w:rsidRDefault="0082467D" w:rsidP="0082467D">
    <w:pPr>
      <w:pStyle w:val="a5"/>
      <w:jc w:val="both"/>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17530"/>
    <w:multiLevelType w:val="hybridMultilevel"/>
    <w:tmpl w:val="013A7DAE"/>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1D4A47BB"/>
    <w:multiLevelType w:val="hybridMultilevel"/>
    <w:tmpl w:val="6EFAD04E"/>
    <w:lvl w:ilvl="0" w:tplc="9CFC0050">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6B705CE"/>
    <w:multiLevelType w:val="hybridMultilevel"/>
    <w:tmpl w:val="CA0E1D5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7B61088A"/>
    <w:multiLevelType w:val="hybridMultilevel"/>
    <w:tmpl w:val="ACBA0858"/>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A0E"/>
    <w:rsid w:val="0000301B"/>
    <w:rsid w:val="00012FE3"/>
    <w:rsid w:val="000836B3"/>
    <w:rsid w:val="000A6E1D"/>
    <w:rsid w:val="000B7327"/>
    <w:rsid w:val="000D32A3"/>
    <w:rsid w:val="000E22FA"/>
    <w:rsid w:val="000F0D8F"/>
    <w:rsid w:val="000F1E35"/>
    <w:rsid w:val="001141D5"/>
    <w:rsid w:val="00137661"/>
    <w:rsid w:val="001457CF"/>
    <w:rsid w:val="00146417"/>
    <w:rsid w:val="0017774F"/>
    <w:rsid w:val="001C0A3E"/>
    <w:rsid w:val="001D1349"/>
    <w:rsid w:val="001D1537"/>
    <w:rsid w:val="001D65D3"/>
    <w:rsid w:val="00200228"/>
    <w:rsid w:val="002442BF"/>
    <w:rsid w:val="00285B59"/>
    <w:rsid w:val="002A28F9"/>
    <w:rsid w:val="002B7853"/>
    <w:rsid w:val="002C74E4"/>
    <w:rsid w:val="002E654E"/>
    <w:rsid w:val="003568D2"/>
    <w:rsid w:val="00364657"/>
    <w:rsid w:val="003B6C7C"/>
    <w:rsid w:val="003C3446"/>
    <w:rsid w:val="003D69E1"/>
    <w:rsid w:val="003D7642"/>
    <w:rsid w:val="003E6B76"/>
    <w:rsid w:val="003F7EB2"/>
    <w:rsid w:val="00401E8D"/>
    <w:rsid w:val="00440B35"/>
    <w:rsid w:val="00452E12"/>
    <w:rsid w:val="004566A0"/>
    <w:rsid w:val="00466C86"/>
    <w:rsid w:val="0047796B"/>
    <w:rsid w:val="004861C5"/>
    <w:rsid w:val="00487583"/>
    <w:rsid w:val="00521707"/>
    <w:rsid w:val="005249B9"/>
    <w:rsid w:val="00537A71"/>
    <w:rsid w:val="00547EFA"/>
    <w:rsid w:val="0055688C"/>
    <w:rsid w:val="00571290"/>
    <w:rsid w:val="00573903"/>
    <w:rsid w:val="005A5EAD"/>
    <w:rsid w:val="005E352E"/>
    <w:rsid w:val="005E3B08"/>
    <w:rsid w:val="005F471D"/>
    <w:rsid w:val="00651C72"/>
    <w:rsid w:val="00664578"/>
    <w:rsid w:val="006669EC"/>
    <w:rsid w:val="0067149B"/>
    <w:rsid w:val="006858FA"/>
    <w:rsid w:val="006953D2"/>
    <w:rsid w:val="006A23EF"/>
    <w:rsid w:val="006C3920"/>
    <w:rsid w:val="006C3E89"/>
    <w:rsid w:val="006D5BFE"/>
    <w:rsid w:val="006D6173"/>
    <w:rsid w:val="006E06F7"/>
    <w:rsid w:val="006F0383"/>
    <w:rsid w:val="007126EE"/>
    <w:rsid w:val="00744BFD"/>
    <w:rsid w:val="007505DA"/>
    <w:rsid w:val="00752CC9"/>
    <w:rsid w:val="007D02BE"/>
    <w:rsid w:val="007E11AB"/>
    <w:rsid w:val="0082467D"/>
    <w:rsid w:val="00855221"/>
    <w:rsid w:val="00876F3D"/>
    <w:rsid w:val="00897B2D"/>
    <w:rsid w:val="008E0C1F"/>
    <w:rsid w:val="008E0CE7"/>
    <w:rsid w:val="008E52E8"/>
    <w:rsid w:val="00954B07"/>
    <w:rsid w:val="009700E3"/>
    <w:rsid w:val="009766E2"/>
    <w:rsid w:val="00986E35"/>
    <w:rsid w:val="009C1A81"/>
    <w:rsid w:val="00A30418"/>
    <w:rsid w:val="00A65A25"/>
    <w:rsid w:val="00A904D6"/>
    <w:rsid w:val="00AA6797"/>
    <w:rsid w:val="00AB20D0"/>
    <w:rsid w:val="00AC164B"/>
    <w:rsid w:val="00AD09E4"/>
    <w:rsid w:val="00AD184A"/>
    <w:rsid w:val="00AD64D7"/>
    <w:rsid w:val="00AE2EBC"/>
    <w:rsid w:val="00AE40ED"/>
    <w:rsid w:val="00B01520"/>
    <w:rsid w:val="00B03A87"/>
    <w:rsid w:val="00B215E1"/>
    <w:rsid w:val="00B46A67"/>
    <w:rsid w:val="00B547D7"/>
    <w:rsid w:val="00B6710B"/>
    <w:rsid w:val="00B817BE"/>
    <w:rsid w:val="00B865AA"/>
    <w:rsid w:val="00BA3153"/>
    <w:rsid w:val="00C14CBC"/>
    <w:rsid w:val="00C17A7E"/>
    <w:rsid w:val="00C40CA6"/>
    <w:rsid w:val="00C65095"/>
    <w:rsid w:val="00C70603"/>
    <w:rsid w:val="00C7278F"/>
    <w:rsid w:val="00CA4F78"/>
    <w:rsid w:val="00CA6D28"/>
    <w:rsid w:val="00CF5EC1"/>
    <w:rsid w:val="00D0687B"/>
    <w:rsid w:val="00D26059"/>
    <w:rsid w:val="00D33564"/>
    <w:rsid w:val="00D5471D"/>
    <w:rsid w:val="00D73A37"/>
    <w:rsid w:val="00D85E94"/>
    <w:rsid w:val="00D9197B"/>
    <w:rsid w:val="00D95324"/>
    <w:rsid w:val="00DA0341"/>
    <w:rsid w:val="00DA5C21"/>
    <w:rsid w:val="00DB30D5"/>
    <w:rsid w:val="00DD498B"/>
    <w:rsid w:val="00E0493D"/>
    <w:rsid w:val="00E069CF"/>
    <w:rsid w:val="00E443FA"/>
    <w:rsid w:val="00E56F1C"/>
    <w:rsid w:val="00E85ACC"/>
    <w:rsid w:val="00E94A29"/>
    <w:rsid w:val="00E95764"/>
    <w:rsid w:val="00EA786D"/>
    <w:rsid w:val="00EE1C13"/>
    <w:rsid w:val="00EE46CC"/>
    <w:rsid w:val="00F005A4"/>
    <w:rsid w:val="00F16AA1"/>
    <w:rsid w:val="00F37A6F"/>
    <w:rsid w:val="00F45839"/>
    <w:rsid w:val="00F64DD4"/>
    <w:rsid w:val="00F86A0E"/>
    <w:rsid w:val="00FF31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0CC8FE2-6C86-49BC-9D48-76D295BA2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0D8F"/>
    <w:pPr>
      <w:widowControl w:val="0"/>
      <w:jc w:val="both"/>
    </w:pPr>
    <w:rPr>
      <w:rFonts w:eastAsia="仿宋"/>
    </w:rPr>
  </w:style>
  <w:style w:type="paragraph" w:styleId="1">
    <w:name w:val="heading 1"/>
    <w:basedOn w:val="a"/>
    <w:next w:val="a"/>
    <w:link w:val="10"/>
    <w:uiPriority w:val="9"/>
    <w:qFormat/>
    <w:rsid w:val="00F37A6F"/>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48758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DD498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197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9197B"/>
    <w:pPr>
      <w:ind w:firstLineChars="200" w:firstLine="420"/>
    </w:pPr>
  </w:style>
  <w:style w:type="paragraph" w:styleId="a5">
    <w:name w:val="header"/>
    <w:basedOn w:val="a"/>
    <w:link w:val="a6"/>
    <w:uiPriority w:val="99"/>
    <w:unhideWhenUsed/>
    <w:rsid w:val="008E0C1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8E0C1F"/>
    <w:rPr>
      <w:sz w:val="18"/>
      <w:szCs w:val="18"/>
    </w:rPr>
  </w:style>
  <w:style w:type="paragraph" w:styleId="a7">
    <w:name w:val="footer"/>
    <w:basedOn w:val="a"/>
    <w:link w:val="a8"/>
    <w:uiPriority w:val="99"/>
    <w:unhideWhenUsed/>
    <w:rsid w:val="008E0C1F"/>
    <w:pPr>
      <w:tabs>
        <w:tab w:val="center" w:pos="4153"/>
        <w:tab w:val="right" w:pos="8306"/>
      </w:tabs>
      <w:snapToGrid w:val="0"/>
      <w:jc w:val="left"/>
    </w:pPr>
    <w:rPr>
      <w:sz w:val="18"/>
      <w:szCs w:val="18"/>
    </w:rPr>
  </w:style>
  <w:style w:type="character" w:customStyle="1" w:styleId="a8">
    <w:name w:val="页脚 字符"/>
    <w:basedOn w:val="a0"/>
    <w:link w:val="a7"/>
    <w:uiPriority w:val="99"/>
    <w:rsid w:val="008E0C1F"/>
    <w:rPr>
      <w:sz w:val="18"/>
      <w:szCs w:val="18"/>
    </w:rPr>
  </w:style>
  <w:style w:type="character" w:customStyle="1" w:styleId="20">
    <w:name w:val="标题 2 字符"/>
    <w:basedOn w:val="a0"/>
    <w:link w:val="2"/>
    <w:uiPriority w:val="9"/>
    <w:rsid w:val="00487583"/>
    <w:rPr>
      <w:rFonts w:asciiTheme="majorHAnsi" w:eastAsiaTheme="majorEastAsia" w:hAnsiTheme="majorHAnsi" w:cstheme="majorBidi"/>
      <w:b/>
      <w:bCs/>
      <w:sz w:val="32"/>
      <w:szCs w:val="32"/>
    </w:rPr>
  </w:style>
  <w:style w:type="character" w:customStyle="1" w:styleId="30">
    <w:name w:val="标题 3 字符"/>
    <w:basedOn w:val="a0"/>
    <w:link w:val="3"/>
    <w:uiPriority w:val="9"/>
    <w:rsid w:val="00DD498B"/>
    <w:rPr>
      <w:b/>
      <w:bCs/>
      <w:sz w:val="32"/>
      <w:szCs w:val="32"/>
    </w:rPr>
  </w:style>
  <w:style w:type="character" w:customStyle="1" w:styleId="10">
    <w:name w:val="标题 1 字符"/>
    <w:basedOn w:val="a0"/>
    <w:link w:val="1"/>
    <w:uiPriority w:val="9"/>
    <w:rsid w:val="00F37A6F"/>
    <w:rPr>
      <w:b/>
      <w:bCs/>
      <w:kern w:val="44"/>
      <w:sz w:val="44"/>
      <w:szCs w:val="44"/>
    </w:rPr>
  </w:style>
  <w:style w:type="paragraph" w:styleId="a9">
    <w:name w:val="No Spacing"/>
    <w:link w:val="aa"/>
    <w:uiPriority w:val="1"/>
    <w:qFormat/>
    <w:rsid w:val="007D02BE"/>
    <w:rPr>
      <w:kern w:val="0"/>
      <w:sz w:val="22"/>
    </w:rPr>
  </w:style>
  <w:style w:type="character" w:customStyle="1" w:styleId="aa">
    <w:name w:val="无间隔 字符"/>
    <w:basedOn w:val="a0"/>
    <w:link w:val="a9"/>
    <w:uiPriority w:val="1"/>
    <w:rsid w:val="007D02BE"/>
    <w:rPr>
      <w:kern w:val="0"/>
      <w:sz w:val="22"/>
    </w:rPr>
  </w:style>
  <w:style w:type="paragraph" w:styleId="ab">
    <w:name w:val="Balloon Text"/>
    <w:basedOn w:val="a"/>
    <w:link w:val="ac"/>
    <w:uiPriority w:val="99"/>
    <w:semiHidden/>
    <w:unhideWhenUsed/>
    <w:rsid w:val="007D02BE"/>
    <w:rPr>
      <w:sz w:val="18"/>
      <w:szCs w:val="18"/>
    </w:rPr>
  </w:style>
  <w:style w:type="character" w:customStyle="1" w:styleId="ac">
    <w:name w:val="批注框文本 字符"/>
    <w:basedOn w:val="a0"/>
    <w:link w:val="ab"/>
    <w:uiPriority w:val="99"/>
    <w:semiHidden/>
    <w:rsid w:val="007D02B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426246">
      <w:bodyDiv w:val="1"/>
      <w:marLeft w:val="0"/>
      <w:marRight w:val="0"/>
      <w:marTop w:val="0"/>
      <w:marBottom w:val="0"/>
      <w:divBdr>
        <w:top w:val="none" w:sz="0" w:space="0" w:color="auto"/>
        <w:left w:val="none" w:sz="0" w:space="0" w:color="auto"/>
        <w:bottom w:val="none" w:sz="0" w:space="0" w:color="auto"/>
        <w:right w:val="none" w:sz="0" w:space="0" w:color="auto"/>
      </w:divBdr>
    </w:div>
    <w:div w:id="1941982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暗香扑面">
  <a:themeElements>
    <a:clrScheme name="暗香扑面">
      <a:dk1>
        <a:sysClr val="windowText" lastClr="000000"/>
      </a:dk1>
      <a:lt1>
        <a:sysClr val="window" lastClr="FFFFFF"/>
      </a:lt1>
      <a:dk2>
        <a:srgbClr val="2F2F2F"/>
      </a:dk2>
      <a:lt2>
        <a:srgbClr val="FFFFF4"/>
      </a:lt2>
      <a:accent1>
        <a:srgbClr val="918415"/>
      </a:accent1>
      <a:accent2>
        <a:srgbClr val="C47546"/>
      </a:accent2>
      <a:accent3>
        <a:srgbClr val="AFB591"/>
      </a:accent3>
      <a:accent4>
        <a:srgbClr val="B9945B"/>
      </a:accent4>
      <a:accent5>
        <a:srgbClr val="85ADBC"/>
      </a:accent5>
      <a:accent6>
        <a:srgbClr val="E5B440"/>
      </a:accent6>
      <a:hlink>
        <a:srgbClr val="00D5D5"/>
      </a:hlink>
      <a:folHlink>
        <a:srgbClr val="DD00DD"/>
      </a:folHlink>
    </a:clrScheme>
    <a:fontScheme name="暗香扑面">
      <a:majorFont>
        <a:latin typeface="Franklin Gothic Medium"/>
        <a:ea typeface=""/>
        <a:cs typeface=""/>
        <a:font script="Jpan" typeface="HG創英角ｺﾞｼｯｸUB"/>
        <a:font script="Hang" typeface="HY견고딕"/>
        <a:font script="Hans" typeface="微软雅黑"/>
        <a:font script="Hant" typeface="微軟正黑體"/>
        <a:font script="Arab" typeface="Arial Bold"/>
        <a:font script="Hebr" typeface="Arial Bold"/>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Bold"/>
        <a:font script="Uigh" typeface="Microsoft Uighur"/>
        <a:font script="Geor" typeface="Sylfaen"/>
      </a:majorFont>
      <a:minorFont>
        <a:latin typeface="Franklin Gothic Book"/>
        <a:ea typeface=""/>
        <a:cs typeface=""/>
        <a:font script="Jpan" typeface="HG創英角ｺﾞｼｯｸUB"/>
        <a:font script="Hang" typeface="맑은 고딕"/>
        <a:font script="Hans" typeface="黑体"/>
        <a:font script="Hant" typeface="新細明體"/>
        <a:font script="Arab" typeface="Arial"/>
        <a:font script="Hebr" typeface="Arial"/>
        <a:font script="Thai" typeface="Cordian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暗香扑面">
      <a:fillStyleLst>
        <a:solidFill>
          <a:schemeClr val="phClr"/>
        </a:solidFill>
        <a:gradFill rotWithShape="1">
          <a:gsLst>
            <a:gs pos="0">
              <a:schemeClr val="phClr">
                <a:tint val="98000"/>
                <a:satMod val="220000"/>
              </a:schemeClr>
            </a:gs>
            <a:gs pos="31000">
              <a:schemeClr val="phClr">
                <a:tint val="30000"/>
                <a:satMod val="150000"/>
              </a:schemeClr>
            </a:gs>
            <a:gs pos="91000">
              <a:schemeClr val="phClr">
                <a:tint val="96000"/>
              </a:schemeClr>
            </a:gs>
          </a:gsLst>
          <a:path path="circle">
            <a:fillToRect l="50000" t="150000" r="50000"/>
          </a:path>
        </a:gradFill>
        <a:blipFill>
          <a:blip xmlns:r="http://schemas.openxmlformats.org/officeDocument/2006/relationships" r:embed="rId1">
            <a:duotone>
              <a:schemeClr val="phClr">
                <a:shade val="28000"/>
                <a:satMod val="100000"/>
              </a:schemeClr>
              <a:schemeClr val="phClr">
                <a:tint val="100000"/>
                <a:satMod val="200000"/>
              </a:schemeClr>
            </a:duotone>
          </a:blip>
          <a:tile tx="0" ty="0" sx="80000" sy="80000" flip="none" algn="tl"/>
        </a:blipFill>
      </a:fillStyleLst>
      <a:lnStyleLst>
        <a:ln w="12700" cap="flat" cmpd="sng" algn="ctr">
          <a:solidFill>
            <a:schemeClr val="phClr"/>
          </a:solidFill>
          <a:prstDash val="solid"/>
        </a:ln>
        <a:ln w="25400" cap="flat" cmpd="sng" algn="ctr">
          <a:solidFill>
            <a:schemeClr val="phClr"/>
          </a:solidFill>
          <a:prstDash val="solid"/>
        </a:ln>
        <a:ln w="38100" cap="flat" cmpd="dbl" algn="ctr">
          <a:solidFill>
            <a:schemeClr val="phClr"/>
          </a:solidFill>
          <a:prstDash val="solid"/>
        </a:ln>
      </a:lnStyleLst>
      <a:effectStyleLst>
        <a:effectStyle>
          <a:effectLst>
            <a:glow rad="63500">
              <a:schemeClr val="phClr">
                <a:alpha val="45000"/>
                <a:satMod val="110000"/>
              </a:schemeClr>
            </a:glow>
          </a:effectLst>
        </a:effectStyle>
        <a:effectStyle>
          <a:effectLst>
            <a:outerShdw blurRad="34925" dist="31750" dir="5400000" algn="tl" rotWithShape="0">
              <a:srgbClr val="000000">
                <a:alpha val="50000"/>
              </a:srgbClr>
            </a:outerShdw>
          </a:effectLst>
          <a:scene3d>
            <a:camera prst="orthographicFront">
              <a:rot lat="0" lon="0" rev="0"/>
            </a:camera>
            <a:lightRig rig="flood" dir="t">
              <a:rot lat="0" lon="0" rev="5400000"/>
            </a:lightRig>
          </a:scene3d>
          <a:sp3d contourW="9525" prstMaterial="dkEdge">
            <a:bevelT w="12000" h="24150"/>
            <a:contourClr>
              <a:schemeClr val="phClr">
                <a:satMod val="110000"/>
              </a:schemeClr>
            </a:contourClr>
          </a:sp3d>
        </a:effectStyle>
        <a:effectStyle>
          <a:effectLst>
            <a:outerShdw blurRad="50800" dist="31750" dir="5400000" algn="tl" rotWithShape="0">
              <a:srgbClr val="000000">
                <a:alpha val="50000"/>
              </a:srgbClr>
            </a:outerShdw>
          </a:effectLst>
          <a:scene3d>
            <a:camera prst="orthographicFront">
              <a:rot lat="0" lon="0" rev="0"/>
            </a:camera>
            <a:lightRig rig="flood" dir="t">
              <a:rot lat="0" lon="0" rev="5400000"/>
            </a:lightRig>
          </a:scene3d>
          <a:sp3d contourW="18700" prstMaterial="dkEdge">
            <a:bevelT w="44450" h="80600"/>
            <a:contourClr>
              <a:schemeClr val="phClr">
                <a:satMod val="110000"/>
              </a:schemeClr>
            </a:contourClr>
          </a:sp3d>
        </a:effectStyle>
      </a:effectStyleLst>
      <a:bgFillStyleLst>
        <a:solidFill>
          <a:schemeClr val="phClr"/>
        </a:solidFill>
        <a:gradFill rotWithShape="1">
          <a:gsLst>
            <a:gs pos="0">
              <a:schemeClr val="phClr">
                <a:shade val="70000"/>
                <a:satMod val="1000000"/>
              </a:schemeClr>
            </a:gs>
            <a:gs pos="31000">
              <a:schemeClr val="phClr">
                <a:shade val="85000"/>
                <a:satMod val="450000"/>
              </a:schemeClr>
            </a:gs>
            <a:gs pos="100000">
              <a:schemeClr val="phClr">
                <a:tint val="70000"/>
                <a:satMod val="300000"/>
              </a:schemeClr>
            </a:gs>
          </a:gsLst>
          <a:path path="circle">
            <a:fillToRect l="50000" t="150000" r="50000"/>
          </a:path>
        </a:gradFill>
        <a:blipFill>
          <a:blip xmlns:r="http://schemas.openxmlformats.org/officeDocument/2006/relationships" r:embed="rId2">
            <a:duotone>
              <a:schemeClr val="phClr">
                <a:tint val="100000"/>
                <a:shade val="70000"/>
                <a:hueMod val="100000"/>
                <a:satMod val="100000"/>
              </a:schemeClr>
              <a:schemeClr val="phClr">
                <a:tint val="90000"/>
                <a:shade val="100000"/>
                <a:hueMod val="100000"/>
                <a:satMod val="10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88A74FC-C189-44D0-B578-E48E62276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757</Words>
  <Characters>4318</Characters>
  <Application>Microsoft Office Word</Application>
  <DocSecurity>0</DocSecurity>
  <Lines>35</Lines>
  <Paragraphs>10</Paragraphs>
  <ScaleCrop>false</ScaleCrop>
  <Company/>
  <LinksUpToDate>false</LinksUpToDate>
  <CharactersWithSpaces>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pqk</dc:creator>
  <cp:lastModifiedBy>Windows 用户</cp:lastModifiedBy>
  <cp:revision>3</cp:revision>
  <dcterms:created xsi:type="dcterms:W3CDTF">2024-05-07T07:47:00Z</dcterms:created>
  <dcterms:modified xsi:type="dcterms:W3CDTF">2024-05-08T03:17:00Z</dcterms:modified>
</cp:coreProperties>
</file>