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711" w:rsidRPr="004F7C24" w:rsidRDefault="008A6711" w:rsidP="008A6711">
      <w:pPr>
        <w:rPr>
          <w:rFonts w:ascii="仿宋" w:eastAsia="仿宋" w:hAnsi="仿宋"/>
          <w:b/>
          <w:kern w:val="0"/>
          <w:sz w:val="36"/>
          <w:szCs w:val="36"/>
        </w:rPr>
      </w:pPr>
      <w:r w:rsidRPr="004F7C24">
        <w:rPr>
          <w:rFonts w:ascii="仿宋" w:eastAsia="仿宋" w:hAnsi="仿宋" w:hint="eastAsia"/>
          <w:b/>
          <w:kern w:val="0"/>
          <w:sz w:val="36"/>
          <w:szCs w:val="36"/>
        </w:rPr>
        <w:t>中国智能网联汽车</w:t>
      </w:r>
      <w:r w:rsidR="00456A04">
        <w:rPr>
          <w:rFonts w:ascii="仿宋" w:eastAsia="仿宋" w:hAnsi="仿宋" w:hint="eastAsia"/>
          <w:b/>
          <w:kern w:val="0"/>
          <w:sz w:val="36"/>
          <w:szCs w:val="36"/>
        </w:rPr>
        <w:t>行业</w:t>
      </w:r>
      <w:r w:rsidRPr="004F7C24">
        <w:rPr>
          <w:rFonts w:ascii="仿宋" w:eastAsia="仿宋" w:hAnsi="仿宋" w:hint="eastAsia"/>
          <w:b/>
          <w:kern w:val="0"/>
          <w:sz w:val="36"/>
          <w:szCs w:val="36"/>
        </w:rPr>
        <w:t>发展报告</w:t>
      </w:r>
    </w:p>
    <w:p w:rsidR="008A6711" w:rsidRPr="004F7C24" w:rsidRDefault="008A6711" w:rsidP="008A6711">
      <w:pPr>
        <w:rPr>
          <w:rFonts w:ascii="仿宋" w:eastAsia="仿宋" w:hAnsi="仿宋"/>
          <w:b/>
          <w:kern w:val="0"/>
          <w:sz w:val="36"/>
          <w:szCs w:val="36"/>
        </w:rPr>
      </w:pPr>
      <w:r w:rsidRPr="004F7C24">
        <w:rPr>
          <w:rFonts w:ascii="仿宋" w:eastAsia="仿宋" w:hAnsi="仿宋"/>
          <w:b/>
          <w:kern w:val="0"/>
          <w:sz w:val="36"/>
          <w:szCs w:val="36"/>
        </w:rPr>
        <w:t>中国信息通信研究院</w:t>
      </w:r>
      <w:r w:rsidRPr="004F7C24">
        <w:rPr>
          <w:rFonts w:ascii="仿宋" w:eastAsia="仿宋" w:hAnsi="仿宋" w:hint="eastAsia"/>
          <w:b/>
          <w:kern w:val="0"/>
          <w:sz w:val="36"/>
          <w:szCs w:val="36"/>
        </w:rPr>
        <w:t>·</w:t>
      </w:r>
      <w:r w:rsidRPr="004F7C24">
        <w:rPr>
          <w:rFonts w:ascii="仿宋" w:eastAsia="仿宋" w:hAnsi="仿宋"/>
          <w:b/>
          <w:kern w:val="0"/>
          <w:sz w:val="36"/>
          <w:szCs w:val="36"/>
        </w:rPr>
        <w:t>观知海内信息网</w:t>
      </w:r>
    </w:p>
    <w:p w:rsidR="008A6711" w:rsidRPr="004F7C24" w:rsidRDefault="008A6711" w:rsidP="008A6711">
      <w:pPr>
        <w:rPr>
          <w:rFonts w:ascii="仿宋" w:eastAsia="仿宋" w:hAnsi="仿宋"/>
          <w:b/>
          <w:kern w:val="0"/>
          <w:sz w:val="36"/>
          <w:szCs w:val="36"/>
        </w:rPr>
      </w:pPr>
      <w:r w:rsidRPr="004F7C24">
        <w:rPr>
          <w:rFonts w:ascii="仿宋" w:eastAsia="仿宋" w:hAnsi="仿宋" w:hint="eastAsia"/>
          <w:b/>
          <w:kern w:val="0"/>
          <w:sz w:val="36"/>
          <w:szCs w:val="36"/>
        </w:rPr>
        <w:t>二○二四年二月</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智能网联汽车是指车联网与智能车的有机联合</w:t>
      </w:r>
      <w:r>
        <w:rPr>
          <w:rFonts w:ascii="宋体" w:hAnsi="宋体" w:cs="宋体" w:hint="eastAsia"/>
          <w:sz w:val="28"/>
          <w:szCs w:val="28"/>
        </w:rPr>
        <w:t>，</w:t>
      </w:r>
      <w:r w:rsidRPr="007C6308">
        <w:rPr>
          <w:rFonts w:ascii="宋体" w:hAnsi="宋体" w:cs="宋体"/>
          <w:sz w:val="28"/>
          <w:szCs w:val="28"/>
        </w:rPr>
        <w:t>是搭载先进的车载传感器、控制器、执行器等装置，并融合现代通信与网络技术，实现车与人、路、后台等智能信息交换共享，实现安全、舒适、节能、高效行驶，并最终可替代人来操作的新一代汽车。</w:t>
      </w:r>
    </w:p>
    <w:p w:rsidR="008A6711" w:rsidRPr="004F7C24" w:rsidRDefault="008A6711" w:rsidP="008A6711">
      <w:pPr>
        <w:ind w:firstLineChars="200" w:firstLine="560"/>
        <w:rPr>
          <w:rFonts w:ascii="宋体" w:hAnsi="宋体" w:cs="宋体"/>
          <w:sz w:val="28"/>
          <w:szCs w:val="28"/>
        </w:rPr>
      </w:pPr>
      <w:r w:rsidRPr="004F7C24">
        <w:rPr>
          <w:rFonts w:ascii="宋体" w:hAnsi="宋体" w:cs="宋体" w:hint="eastAsia"/>
          <w:sz w:val="28"/>
          <w:szCs w:val="28"/>
        </w:rPr>
        <w:t>本报告中所列数据的统计期限自202</w:t>
      </w:r>
      <w:r>
        <w:rPr>
          <w:rFonts w:ascii="宋体" w:hAnsi="宋体" w:cs="宋体"/>
          <w:sz w:val="28"/>
          <w:szCs w:val="28"/>
        </w:rPr>
        <w:t>3</w:t>
      </w:r>
      <w:r w:rsidRPr="004F7C24">
        <w:rPr>
          <w:rFonts w:ascii="宋体" w:hAnsi="宋体" w:cs="宋体" w:hint="eastAsia"/>
          <w:sz w:val="28"/>
          <w:szCs w:val="28"/>
        </w:rPr>
        <w:t>年1月1日起，至202</w:t>
      </w:r>
      <w:r>
        <w:rPr>
          <w:rFonts w:ascii="宋体" w:hAnsi="宋体" w:cs="宋体"/>
          <w:sz w:val="28"/>
          <w:szCs w:val="28"/>
        </w:rPr>
        <w:t>3</w:t>
      </w:r>
      <w:r w:rsidRPr="004F7C24">
        <w:rPr>
          <w:rFonts w:ascii="宋体" w:hAnsi="宋体" w:cs="宋体" w:hint="eastAsia"/>
          <w:sz w:val="28"/>
          <w:szCs w:val="28"/>
        </w:rPr>
        <w:t>年12月31日止。本报告的电子版可在</w:t>
      </w:r>
      <w:r w:rsidRPr="004F7C24">
        <w:rPr>
          <w:rFonts w:asciiTheme="minorEastAsia" w:eastAsiaTheme="minorEastAsia" w:hAnsiTheme="minorEastAsia"/>
          <w:b/>
          <w:color w:val="FF0000"/>
          <w:kern w:val="0"/>
          <w:sz w:val="28"/>
          <w:szCs w:val="28"/>
        </w:rPr>
        <w:t>观知海内信息网</w:t>
      </w:r>
      <w:r w:rsidRPr="004F7C24">
        <w:rPr>
          <w:rFonts w:ascii="宋体" w:hAnsi="宋体" w:cs="宋体" w:hint="eastAsia"/>
          <w:sz w:val="28"/>
          <w:szCs w:val="28"/>
        </w:rPr>
        <w:t>上下载。</w:t>
      </w:r>
    </w:p>
    <w:p w:rsidR="008A6711" w:rsidRPr="00A30AE9" w:rsidRDefault="008A6711" w:rsidP="008A6711">
      <w:pPr>
        <w:ind w:firstLineChars="200" w:firstLine="643"/>
        <w:rPr>
          <w:rFonts w:ascii="楷体" w:eastAsia="楷体" w:hAnsi="楷体"/>
          <w:b/>
          <w:color w:val="C00000"/>
          <w:kern w:val="0"/>
          <w:sz w:val="32"/>
          <w:szCs w:val="32"/>
        </w:rPr>
      </w:pPr>
      <w:r w:rsidRPr="00A30AE9">
        <w:rPr>
          <w:rFonts w:ascii="楷体" w:eastAsia="楷体" w:hAnsi="楷体"/>
          <w:b/>
          <w:color w:val="C00000"/>
          <w:kern w:val="0"/>
          <w:sz w:val="32"/>
          <w:szCs w:val="32"/>
        </w:rPr>
        <w:t>一、智能网联汽车行业概况</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智能网联汽车，可以提供更舒适、更环保、更节能、更安全的综合解决方案和出行方式</w:t>
      </w:r>
      <w:r>
        <w:rPr>
          <w:rFonts w:ascii="宋体" w:hAnsi="宋体" w:cs="宋体" w:hint="eastAsia"/>
          <w:sz w:val="28"/>
          <w:szCs w:val="28"/>
        </w:rPr>
        <w:t>，</w:t>
      </w:r>
      <w:r w:rsidRPr="007C6308">
        <w:rPr>
          <w:rFonts w:ascii="宋体" w:hAnsi="宋体" w:cs="宋体"/>
          <w:sz w:val="28"/>
          <w:szCs w:val="28"/>
        </w:rPr>
        <w:t>是城市和乡镇推进智能快捷交通体系的重要保证，是绿色低碳社会构建的核心要素之一。当前的智能网联汽车还处于行业发展的初期，未来的分等级实现自动驾驶功能是其最大的卖点，除此之外与传统汽车还有其它的区别，这些新增的需求，使得智能网联汽车行业存在着巨大的发展空间。</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2022年，全国部分</w:t>
      </w:r>
      <w:proofErr w:type="gramStart"/>
      <w:r w:rsidRPr="007C6308">
        <w:rPr>
          <w:rFonts w:ascii="宋体" w:hAnsi="宋体" w:cs="宋体"/>
          <w:sz w:val="28"/>
          <w:szCs w:val="28"/>
        </w:rPr>
        <w:t>一</w:t>
      </w:r>
      <w:proofErr w:type="gramEnd"/>
      <w:r w:rsidRPr="007C6308">
        <w:rPr>
          <w:rFonts w:ascii="宋体" w:hAnsi="宋体" w:cs="宋体"/>
          <w:sz w:val="28"/>
          <w:szCs w:val="28"/>
        </w:rPr>
        <w:t>二线城市出台了智能网联汽车驾驶相关政策，近两三年是智能网联汽车政策驱动的快速发展期。如江苏提出到2025年建成国内领先的车联网和智能网联汽车产业链与创新链，广州提出到2024年3级（含）以下级别自动驾驶汽车新车装配率超过50%，4级自动驾驶汽车初步实现规模化生产，表明2025年左右是智能汽车发展的关键节点，近两三年是政策驱动发展的关键时期，各城</w:t>
      </w:r>
      <w:r w:rsidRPr="007C6308">
        <w:rPr>
          <w:rFonts w:ascii="宋体" w:hAnsi="宋体" w:cs="宋体"/>
          <w:sz w:val="28"/>
          <w:szCs w:val="28"/>
        </w:rPr>
        <w:lastRenderedPageBreak/>
        <w:t>市争相发展智能网联汽车。</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根据智能网联汽车新的特性，将产业</w:t>
      </w:r>
      <w:proofErr w:type="gramStart"/>
      <w:r w:rsidRPr="007C6308">
        <w:rPr>
          <w:rFonts w:ascii="宋体" w:hAnsi="宋体" w:cs="宋体"/>
          <w:sz w:val="28"/>
          <w:szCs w:val="28"/>
        </w:rPr>
        <w:t>链改造</w:t>
      </w:r>
      <w:proofErr w:type="gramEnd"/>
      <w:r w:rsidRPr="007C6308">
        <w:rPr>
          <w:rFonts w:ascii="宋体" w:hAnsi="宋体" w:cs="宋体"/>
          <w:sz w:val="28"/>
          <w:szCs w:val="28"/>
        </w:rPr>
        <w:t>为上游汽车零部件二级供应商、中游汽车零部件一级供应商和下游商用车/乘用车生产厂商。智能网联汽车产业链上、中、下游的企业，由于产业分工的不同，呈现出不同的企业特征，同时，在行业政策的扶持下，其面临的发展机会也不尽相同。</w:t>
      </w:r>
    </w:p>
    <w:p w:rsidR="008A6711" w:rsidRPr="00A30AE9" w:rsidRDefault="008A6711" w:rsidP="008A6711">
      <w:pPr>
        <w:ind w:firstLineChars="200" w:firstLine="643"/>
        <w:rPr>
          <w:rFonts w:ascii="楷体" w:eastAsia="楷体" w:hAnsi="楷体"/>
          <w:b/>
          <w:color w:val="C00000"/>
          <w:kern w:val="0"/>
          <w:sz w:val="32"/>
          <w:szCs w:val="32"/>
        </w:rPr>
      </w:pPr>
      <w:r w:rsidRPr="00A30AE9">
        <w:rPr>
          <w:rFonts w:ascii="楷体" w:eastAsia="楷体" w:hAnsi="楷体"/>
          <w:b/>
          <w:color w:val="C00000"/>
          <w:kern w:val="0"/>
          <w:sz w:val="32"/>
          <w:szCs w:val="32"/>
        </w:rPr>
        <w:t>二、智能网联汽车行业发展现状分析</w:t>
      </w:r>
    </w:p>
    <w:p w:rsidR="008A6711" w:rsidRPr="00D43ACA" w:rsidRDefault="008A6711" w:rsidP="008A6711">
      <w:pPr>
        <w:ind w:firstLineChars="200" w:firstLine="602"/>
        <w:rPr>
          <w:rFonts w:ascii="宋体" w:hAnsi="宋体"/>
          <w:b/>
          <w:color w:val="C00000"/>
          <w:kern w:val="0"/>
          <w:sz w:val="30"/>
          <w:szCs w:val="30"/>
        </w:rPr>
      </w:pPr>
      <w:r w:rsidRPr="00D43ACA">
        <w:rPr>
          <w:rFonts w:ascii="宋体" w:hAnsi="宋体" w:hint="eastAsia"/>
          <w:b/>
          <w:color w:val="C00000"/>
          <w:kern w:val="0"/>
          <w:sz w:val="30"/>
          <w:szCs w:val="30"/>
        </w:rPr>
        <w:t>（一）</w:t>
      </w:r>
      <w:r w:rsidRPr="00D43ACA">
        <w:rPr>
          <w:rFonts w:ascii="宋体" w:hAnsi="宋体"/>
          <w:b/>
          <w:color w:val="C00000"/>
          <w:kern w:val="0"/>
          <w:sz w:val="30"/>
          <w:szCs w:val="30"/>
        </w:rPr>
        <w:t>智能网联汽车市场规模</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随着人工智能、5G、大数据等新一代信息技术的迅猛发展，智能网联汽车正在呈现强劲发展势头，成为全球汽车企业争相抢占的战略制高点。近年来，政府相关部门积极推动智能网联汽车行业的发展，行业市场规模快速增长。2022年我国智能网联汽车行业的市场规模为1342亿元，同比增长21.56%。随着行业科技加速变革，技术加快升级，预计2025年中国智能网联汽车行业市场规模将增至2223亿元。</w:t>
      </w:r>
    </w:p>
    <w:p w:rsidR="008A6711" w:rsidRPr="00D43ACA" w:rsidRDefault="008A6711" w:rsidP="008A6711">
      <w:pPr>
        <w:ind w:firstLineChars="200" w:firstLine="602"/>
        <w:rPr>
          <w:rFonts w:ascii="宋体" w:hAnsi="宋体"/>
          <w:b/>
          <w:color w:val="C00000"/>
          <w:kern w:val="0"/>
          <w:sz w:val="30"/>
          <w:szCs w:val="30"/>
        </w:rPr>
      </w:pPr>
      <w:r w:rsidRPr="00D43ACA">
        <w:rPr>
          <w:rFonts w:ascii="宋体" w:hAnsi="宋体" w:hint="eastAsia"/>
          <w:b/>
          <w:color w:val="C00000"/>
          <w:kern w:val="0"/>
          <w:sz w:val="30"/>
          <w:szCs w:val="30"/>
        </w:rPr>
        <w:t>（二）</w:t>
      </w:r>
      <w:r w:rsidRPr="00D43ACA">
        <w:rPr>
          <w:rFonts w:ascii="宋体" w:hAnsi="宋体"/>
          <w:b/>
          <w:color w:val="C00000"/>
          <w:kern w:val="0"/>
          <w:sz w:val="30"/>
          <w:szCs w:val="30"/>
        </w:rPr>
        <w:t>智能网联汽车产量分析</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随着先进汽车材料与工艺、新型驱动系统、磷酸铁锂电池技术等不断优化，新能源汽车的大批上市推动汽车整体智能化水平加快提升，预计未来三年，智能网联汽车应用服务市场将走在量价齐升的成长阶段。</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智能网联汽产量将持续稳步提升。2022年中国智能网联汽车产量为1.85亿辆，预计到2025年，智能网联汽总量将达到2.59亿辆，</w:t>
      </w:r>
      <w:r w:rsidRPr="007C6308">
        <w:rPr>
          <w:rFonts w:ascii="宋体" w:hAnsi="宋体" w:cs="宋体"/>
          <w:sz w:val="28"/>
          <w:szCs w:val="28"/>
        </w:rPr>
        <w:lastRenderedPageBreak/>
        <w:t>在汽车保有量中的占比约75.6%。</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前装市场成为智能网联汽车规模的重要驱动力。随着新能源汽车加速推广，智能中控、辅助驾驶等功能进一步普及，用户使用习惯和消费偏好重塑，越来越多新上市的乘用车将搭载联网设备，成为前装联网市场增长的重要来源。</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2022年我国前装联网乘用车存量约为7300万辆，预计到2025年将达到1.19亿辆，年复合增长率达25.9%。</w:t>
      </w:r>
    </w:p>
    <w:p w:rsidR="008A6711" w:rsidRPr="00D43ACA" w:rsidRDefault="008A6711" w:rsidP="008A6711">
      <w:pPr>
        <w:ind w:firstLineChars="200" w:firstLine="602"/>
        <w:rPr>
          <w:rFonts w:ascii="宋体" w:hAnsi="宋体"/>
          <w:b/>
          <w:color w:val="C00000"/>
          <w:kern w:val="0"/>
          <w:sz w:val="30"/>
          <w:szCs w:val="30"/>
        </w:rPr>
      </w:pPr>
      <w:r w:rsidRPr="00D43ACA">
        <w:rPr>
          <w:rFonts w:ascii="宋体" w:hAnsi="宋体" w:hint="eastAsia"/>
          <w:b/>
          <w:color w:val="C00000"/>
          <w:kern w:val="0"/>
          <w:sz w:val="30"/>
          <w:szCs w:val="30"/>
        </w:rPr>
        <w:t>（三）</w:t>
      </w:r>
      <w:r w:rsidRPr="00D43ACA">
        <w:rPr>
          <w:rFonts w:ascii="宋体" w:hAnsi="宋体"/>
          <w:b/>
          <w:color w:val="C00000"/>
          <w:kern w:val="0"/>
          <w:sz w:val="30"/>
          <w:szCs w:val="30"/>
        </w:rPr>
        <w:t>智能网联汽车出货量</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汽车和智能网联化的结合不仅改变了人们的出行方式，还促进了交通系统的智能化和自动化。随着智能网联技术迅速推广，6G网络的发展，以及消费者对汽车智能化接受度逐渐增高，智能网联系统在汽车产业内的装配率预计将在2025年达到83%的水平，智能网联汽车出货量将增至2490万辆，年均复合增长率为16.1%，发展空间十分广阔。</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观知海内咨询发布的《2023年中国智能网联汽车行业产业链全景分析及投资风险研究报告》是智能网联汽车行业最新研究成果。介绍了智能网联汽车行业市场发展环境、全球及中国智能网联汽车行业整体运行态势，分析了智能网联汽车市场竞争格局及智能网联汽车重点企业经营状况、产业</w:t>
      </w:r>
      <w:proofErr w:type="gramStart"/>
      <w:r w:rsidRPr="007C6308">
        <w:rPr>
          <w:rFonts w:ascii="宋体" w:hAnsi="宋体" w:cs="宋体"/>
          <w:sz w:val="28"/>
          <w:szCs w:val="28"/>
        </w:rPr>
        <w:t>链发展</w:t>
      </w:r>
      <w:proofErr w:type="gramEnd"/>
      <w:r w:rsidRPr="007C6308">
        <w:rPr>
          <w:rFonts w:ascii="宋体" w:hAnsi="宋体" w:cs="宋体"/>
          <w:sz w:val="28"/>
          <w:szCs w:val="28"/>
        </w:rPr>
        <w:t>现状等，并对智能网联汽车行业未来投资前景做了预期及判断。</w:t>
      </w:r>
    </w:p>
    <w:p w:rsidR="008A6711" w:rsidRPr="00D43ACA" w:rsidRDefault="008A6711" w:rsidP="008A6711">
      <w:pPr>
        <w:ind w:firstLineChars="200" w:firstLine="602"/>
        <w:rPr>
          <w:rFonts w:ascii="宋体" w:hAnsi="宋体"/>
          <w:b/>
          <w:color w:val="C00000"/>
          <w:kern w:val="0"/>
          <w:sz w:val="30"/>
          <w:szCs w:val="30"/>
        </w:rPr>
      </w:pPr>
      <w:r w:rsidRPr="00D43ACA">
        <w:rPr>
          <w:rFonts w:ascii="宋体" w:hAnsi="宋体" w:hint="eastAsia"/>
          <w:b/>
          <w:color w:val="C00000"/>
          <w:kern w:val="0"/>
          <w:sz w:val="30"/>
          <w:szCs w:val="30"/>
        </w:rPr>
        <w:t>（四）</w:t>
      </w:r>
      <w:r w:rsidRPr="00D43ACA">
        <w:rPr>
          <w:rFonts w:ascii="宋体" w:hAnsi="宋体"/>
          <w:b/>
          <w:color w:val="C00000"/>
          <w:kern w:val="0"/>
          <w:sz w:val="30"/>
          <w:szCs w:val="30"/>
        </w:rPr>
        <w:t>ADAS级智能网联汽车销量</w:t>
      </w:r>
    </w:p>
    <w:p w:rsidR="008A6711" w:rsidRDefault="008A6711" w:rsidP="008A6711">
      <w:pPr>
        <w:ind w:firstLineChars="200" w:firstLine="560"/>
        <w:rPr>
          <w:rFonts w:ascii="宋体" w:hAnsi="宋体" w:cs="宋体"/>
          <w:sz w:val="28"/>
          <w:szCs w:val="28"/>
        </w:rPr>
      </w:pPr>
      <w:r w:rsidRPr="007C6308">
        <w:rPr>
          <w:rFonts w:ascii="宋体" w:hAnsi="宋体" w:cs="宋体"/>
          <w:sz w:val="28"/>
          <w:szCs w:val="28"/>
        </w:rPr>
        <w:t>智能网联汽车与智能驾驶技术关系密切，在中国市场上，智能网</w:t>
      </w:r>
      <w:r w:rsidRPr="007C6308">
        <w:rPr>
          <w:rFonts w:ascii="宋体" w:hAnsi="宋体" w:cs="宋体"/>
          <w:sz w:val="28"/>
          <w:szCs w:val="28"/>
        </w:rPr>
        <w:lastRenderedPageBreak/>
        <w:t>联汽车普遍配备ADAS（L1+L2）智能驾驶技术。目前，中国的智能驾驶技术仍处于发展阶段，配备L2驾驶技术的汽车已实现批量生产。近几年，我国ADAS级智能网联汽车销量增长速度较快，由2019年的7200千台增至2022年的13208千台，年均复合增长率约为22.4%。预计2023年我国ADAS级智能网联汽车销量将增长至14811千台。</w:t>
      </w:r>
      <w:r w:rsidR="00AD4547">
        <w:rPr>
          <w:rFonts w:ascii="宋体" w:hAnsi="宋体" w:cs="宋体" w:hint="eastAsia"/>
          <w:sz w:val="28"/>
          <w:szCs w:val="28"/>
        </w:rPr>
        <w:t>（具体数据见附表）</w:t>
      </w:r>
    </w:p>
    <w:p w:rsidR="008A6711" w:rsidRPr="00D43ACA" w:rsidRDefault="008A6711" w:rsidP="008A6711">
      <w:pPr>
        <w:ind w:firstLineChars="200" w:firstLine="602"/>
        <w:rPr>
          <w:rFonts w:ascii="宋体" w:hAnsi="宋体"/>
          <w:b/>
          <w:color w:val="C00000"/>
          <w:kern w:val="0"/>
          <w:sz w:val="30"/>
          <w:szCs w:val="30"/>
        </w:rPr>
      </w:pPr>
      <w:r w:rsidRPr="00D43ACA">
        <w:rPr>
          <w:rFonts w:ascii="宋体" w:hAnsi="宋体" w:hint="eastAsia"/>
          <w:b/>
          <w:color w:val="C00000"/>
          <w:kern w:val="0"/>
          <w:sz w:val="30"/>
          <w:szCs w:val="30"/>
        </w:rPr>
        <w:t>（五）</w:t>
      </w:r>
      <w:r w:rsidRPr="00D43ACA">
        <w:rPr>
          <w:rFonts w:ascii="宋体" w:hAnsi="宋体"/>
          <w:b/>
          <w:color w:val="C00000"/>
          <w:kern w:val="0"/>
          <w:sz w:val="30"/>
          <w:szCs w:val="30"/>
        </w:rPr>
        <w:t>ADAS级智能驾驶技术渗透率</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随着技术不断改进，汽车正成为智能终端，这不仅会改变人类驾驶的行为习惯，也会在交通安全、运输成本、车辆效率等方面推动整个社会的发展进步。目前，L1、L2及L3智能驾驶技术仍是中国自动驾驶技术的主流，中国ADAS级智能驾驶技术的渗透率预计将于2023年达到51.9%。</w:t>
      </w:r>
    </w:p>
    <w:p w:rsidR="008A6711" w:rsidRPr="00A30AE9" w:rsidRDefault="008A6711" w:rsidP="008A6711">
      <w:pPr>
        <w:ind w:firstLineChars="200" w:firstLine="643"/>
        <w:rPr>
          <w:rFonts w:ascii="楷体" w:eastAsia="楷体" w:hAnsi="楷体"/>
          <w:b/>
          <w:color w:val="C00000"/>
          <w:kern w:val="0"/>
          <w:sz w:val="32"/>
          <w:szCs w:val="32"/>
        </w:rPr>
      </w:pPr>
      <w:r w:rsidRPr="00A30AE9">
        <w:rPr>
          <w:rFonts w:ascii="楷体" w:eastAsia="楷体" w:hAnsi="楷体"/>
          <w:b/>
          <w:color w:val="C00000"/>
          <w:kern w:val="0"/>
          <w:sz w:val="32"/>
          <w:szCs w:val="32"/>
        </w:rPr>
        <w:t>三、智能网联汽车行业重点企业</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上海汽车集团股份有限公司是国内规模领先的汽车上市公司，近年来集团加快推动业务转型升级。目前，上汽集团主要业务包括整车的研发、生产和销售，正积极推进新能源汽车、互联网汽车的商业化，并开展智能驾驶等技术的研究和产业化探索；零部件的研发、生产、销售；物流、汽车电商、出行服务、节能和充电服务等移动出行服务业务；汽车相关金融、保险和投资业务；海外经营和国际商贸业务；并在产业大数据和人工智能领域积极布局。</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2022年，上汽集团实现营收7441亿元，同比下降4.59%；实现</w:t>
      </w:r>
      <w:proofErr w:type="gramStart"/>
      <w:r w:rsidRPr="007C6308">
        <w:rPr>
          <w:rFonts w:ascii="宋体" w:hAnsi="宋体" w:cs="宋体"/>
          <w:sz w:val="28"/>
          <w:szCs w:val="28"/>
        </w:rPr>
        <w:t>归母净利润</w:t>
      </w:r>
      <w:proofErr w:type="gramEnd"/>
      <w:r w:rsidRPr="007C6308">
        <w:rPr>
          <w:rFonts w:ascii="宋体" w:hAnsi="宋体" w:cs="宋体"/>
          <w:sz w:val="28"/>
          <w:szCs w:val="28"/>
        </w:rPr>
        <w:t>161.2亿元，同比下降34.30%。截止到2023年上半年上</w:t>
      </w:r>
      <w:r w:rsidRPr="007C6308">
        <w:rPr>
          <w:rFonts w:ascii="宋体" w:hAnsi="宋体" w:cs="宋体"/>
          <w:sz w:val="28"/>
          <w:szCs w:val="28"/>
        </w:rPr>
        <w:lastRenderedPageBreak/>
        <w:t>汽集团实现营收3265.55亿元，；实现</w:t>
      </w:r>
      <w:proofErr w:type="gramStart"/>
      <w:r w:rsidRPr="007C6308">
        <w:rPr>
          <w:rFonts w:ascii="宋体" w:hAnsi="宋体" w:cs="宋体"/>
          <w:sz w:val="28"/>
          <w:szCs w:val="28"/>
        </w:rPr>
        <w:t>归母净利润</w:t>
      </w:r>
      <w:proofErr w:type="gramEnd"/>
      <w:r w:rsidRPr="007C6308">
        <w:rPr>
          <w:rFonts w:ascii="宋体" w:hAnsi="宋体" w:cs="宋体"/>
          <w:sz w:val="28"/>
          <w:szCs w:val="28"/>
        </w:rPr>
        <w:t>70.85亿元。</w:t>
      </w:r>
    </w:p>
    <w:p w:rsidR="008A6711" w:rsidRPr="00A30AE9" w:rsidRDefault="008A6711" w:rsidP="008A6711">
      <w:pPr>
        <w:ind w:firstLineChars="200" w:firstLine="643"/>
        <w:rPr>
          <w:rFonts w:ascii="楷体" w:eastAsia="楷体" w:hAnsi="楷体"/>
          <w:b/>
          <w:color w:val="C00000"/>
          <w:kern w:val="0"/>
          <w:sz w:val="32"/>
          <w:szCs w:val="32"/>
        </w:rPr>
      </w:pPr>
      <w:r>
        <w:rPr>
          <w:rFonts w:ascii="楷体" w:eastAsia="楷体" w:hAnsi="楷体" w:hint="eastAsia"/>
          <w:b/>
          <w:color w:val="C00000"/>
          <w:kern w:val="0"/>
          <w:sz w:val="32"/>
          <w:szCs w:val="32"/>
        </w:rPr>
        <w:t>四</w:t>
      </w:r>
      <w:r w:rsidRPr="00A30AE9">
        <w:rPr>
          <w:rFonts w:ascii="楷体" w:eastAsia="楷体" w:hAnsi="楷体"/>
          <w:b/>
          <w:color w:val="C00000"/>
          <w:kern w:val="0"/>
          <w:sz w:val="32"/>
          <w:szCs w:val="32"/>
        </w:rPr>
        <w:t>、投融资情况</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受宏观大环境影响，智能网联汽车投融资热度有所回落。根据IT桔子数据显示，2019年至2021年，智能网联汽车行业投融资持续火热，投资事件数和融资总额整体呈上升趋势，热度于2021年到达顶峰。此后，受疫情及全球经济下行等多因素的叠加影响，投资机构趋于谨慎，一级市场整体遇冷。受大环境及企业盈利难、基金</w:t>
      </w:r>
      <w:proofErr w:type="gramStart"/>
      <w:r w:rsidRPr="007C6308">
        <w:rPr>
          <w:rFonts w:ascii="宋体" w:hAnsi="宋体" w:cs="宋体"/>
          <w:sz w:val="28"/>
          <w:szCs w:val="28"/>
        </w:rPr>
        <w:t>退出难</w:t>
      </w:r>
      <w:proofErr w:type="gramEnd"/>
      <w:r w:rsidRPr="007C6308">
        <w:rPr>
          <w:rFonts w:ascii="宋体" w:hAnsi="宋体" w:cs="宋体"/>
          <w:sz w:val="28"/>
          <w:szCs w:val="28"/>
        </w:rPr>
        <w:t>等因素影响，中国智能网联汽车行业投融资热度有所下降，2022年及2023年1-5</w:t>
      </w:r>
      <w:proofErr w:type="gramStart"/>
      <w:r w:rsidRPr="007C6308">
        <w:rPr>
          <w:rFonts w:ascii="宋体" w:hAnsi="宋体" w:cs="宋体"/>
          <w:sz w:val="28"/>
          <w:szCs w:val="28"/>
        </w:rPr>
        <w:t>月分</w:t>
      </w:r>
      <w:proofErr w:type="gramEnd"/>
      <w:r w:rsidRPr="007C6308">
        <w:rPr>
          <w:rFonts w:ascii="宋体" w:hAnsi="宋体" w:cs="宋体"/>
          <w:sz w:val="28"/>
          <w:szCs w:val="28"/>
        </w:rPr>
        <w:t>别发生101和26起投资事件，金额分别达597.17和105.32亿元。</w:t>
      </w:r>
    </w:p>
    <w:p w:rsidR="008A6711" w:rsidRPr="00A30AE9" w:rsidRDefault="008A6711" w:rsidP="008A6711">
      <w:pPr>
        <w:ind w:firstLineChars="200" w:firstLine="643"/>
        <w:rPr>
          <w:rFonts w:ascii="楷体" w:eastAsia="楷体" w:hAnsi="楷体"/>
          <w:b/>
          <w:color w:val="C00000"/>
          <w:kern w:val="0"/>
          <w:sz w:val="32"/>
          <w:szCs w:val="32"/>
        </w:rPr>
      </w:pPr>
      <w:r w:rsidRPr="00A30AE9">
        <w:rPr>
          <w:rFonts w:ascii="楷体" w:eastAsia="楷体" w:hAnsi="楷体"/>
          <w:b/>
          <w:color w:val="C00000"/>
          <w:kern w:val="0"/>
          <w:sz w:val="32"/>
          <w:szCs w:val="32"/>
        </w:rPr>
        <w:t>五、下游端分析</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中国汽车工业协会发布的汽车总销量包括乘用车销量、商用车销量以及乘用车加商用车总销量。其中最大的市场是乘用车市场，其销量在2009年首次突破千万辆，达到了1033.1万辆，同时带动中国汽车总销量首次突破千万辆，达到了1364万辆。在20世纪的第一个十年里，中国汽车行业经历了快速增长的，年复合增长率达到了惊人的25.3%。当市场达到一定规模后，市场的增长区域稳定，在本世纪的第二个十年里，虽然，中国的乘用车市场总体趋势仍然保持着向上的增长，但是销量增速及总量的波动明显加大。中汽</w:t>
      </w:r>
      <w:proofErr w:type="gramStart"/>
      <w:r w:rsidRPr="007C6308">
        <w:rPr>
          <w:rFonts w:ascii="宋体" w:hAnsi="宋体" w:cs="宋体"/>
          <w:sz w:val="28"/>
          <w:szCs w:val="28"/>
        </w:rPr>
        <w:t>协数据</w:t>
      </w:r>
      <w:proofErr w:type="gramEnd"/>
      <w:r w:rsidRPr="007C6308">
        <w:rPr>
          <w:rFonts w:ascii="宋体" w:hAnsi="宋体" w:cs="宋体"/>
          <w:sz w:val="28"/>
          <w:szCs w:val="28"/>
        </w:rPr>
        <w:t>显示，2022年，我国乘用车产销分别完成2383.6万辆和2356.3万辆，同比分别增长11.2%和9.69%，增幅高于行业均超过7个百分点。截止到2023年8月我国乘用车产销分别完成1567.2万辆和1564.3万辆，同比分</w:t>
      </w:r>
      <w:r w:rsidRPr="007C6308">
        <w:rPr>
          <w:rFonts w:ascii="宋体" w:hAnsi="宋体" w:cs="宋体"/>
          <w:sz w:val="28"/>
          <w:szCs w:val="28"/>
        </w:rPr>
        <w:lastRenderedPageBreak/>
        <w:t>别增长5.9%和6.7%。</w:t>
      </w:r>
    </w:p>
    <w:p w:rsidR="008A6711" w:rsidRPr="00A30AE9" w:rsidRDefault="008A6711" w:rsidP="008A6711">
      <w:pPr>
        <w:ind w:firstLineChars="200" w:firstLine="643"/>
        <w:rPr>
          <w:rFonts w:ascii="楷体" w:eastAsia="楷体" w:hAnsi="楷体"/>
          <w:b/>
          <w:color w:val="C00000"/>
          <w:kern w:val="0"/>
          <w:sz w:val="32"/>
          <w:szCs w:val="32"/>
        </w:rPr>
      </w:pPr>
      <w:r>
        <w:rPr>
          <w:rFonts w:ascii="楷体" w:eastAsia="楷体" w:hAnsi="楷体" w:hint="eastAsia"/>
          <w:b/>
          <w:color w:val="C00000"/>
          <w:kern w:val="0"/>
          <w:sz w:val="32"/>
          <w:szCs w:val="32"/>
        </w:rPr>
        <w:t>六</w:t>
      </w:r>
      <w:r w:rsidRPr="00A30AE9">
        <w:rPr>
          <w:rFonts w:ascii="楷体" w:eastAsia="楷体" w:hAnsi="楷体"/>
          <w:b/>
          <w:color w:val="C00000"/>
          <w:kern w:val="0"/>
          <w:sz w:val="32"/>
          <w:szCs w:val="32"/>
        </w:rPr>
        <w:t>、行业发展趋势</w:t>
      </w:r>
    </w:p>
    <w:p w:rsidR="008A6711" w:rsidRPr="00FF79F7" w:rsidRDefault="008A6711" w:rsidP="008A6711">
      <w:pPr>
        <w:ind w:firstLineChars="200" w:firstLine="602"/>
        <w:rPr>
          <w:rFonts w:ascii="宋体" w:hAnsi="宋体"/>
          <w:b/>
          <w:color w:val="C00000"/>
          <w:kern w:val="0"/>
          <w:sz w:val="30"/>
          <w:szCs w:val="30"/>
        </w:rPr>
      </w:pPr>
      <w:r w:rsidRPr="00FF79F7">
        <w:rPr>
          <w:rFonts w:ascii="宋体" w:hAnsi="宋体" w:hint="eastAsia"/>
          <w:b/>
          <w:color w:val="C00000"/>
          <w:kern w:val="0"/>
          <w:sz w:val="30"/>
          <w:szCs w:val="30"/>
        </w:rPr>
        <w:t>（一）</w:t>
      </w:r>
      <w:r w:rsidRPr="00FF79F7">
        <w:rPr>
          <w:rFonts w:ascii="宋体" w:hAnsi="宋体"/>
          <w:b/>
          <w:color w:val="C00000"/>
          <w:kern w:val="0"/>
          <w:sz w:val="30"/>
          <w:szCs w:val="30"/>
        </w:rPr>
        <w:t>“地理围栏”内商用车自动驾驶有望快速实现</w:t>
      </w:r>
    </w:p>
    <w:p w:rsidR="008A6711" w:rsidRDefault="008A6711" w:rsidP="008A6711">
      <w:pPr>
        <w:ind w:firstLineChars="200" w:firstLine="560"/>
        <w:rPr>
          <w:rFonts w:ascii="宋体" w:hAnsi="宋体" w:cs="宋体"/>
          <w:sz w:val="28"/>
          <w:szCs w:val="28"/>
        </w:rPr>
      </w:pPr>
      <w:r w:rsidRPr="007C6308">
        <w:rPr>
          <w:rFonts w:ascii="宋体" w:hAnsi="宋体" w:cs="宋体"/>
          <w:sz w:val="28"/>
          <w:szCs w:val="28"/>
        </w:rPr>
        <w:t>在自动驾驶行业热度飙升之初，算法型公司和主机厂对自动驾驶L4~L5级别的落地时间规划在2018~2022年，但从政府对自动驾驶的开放态度、复杂道路突发情况的发生和“地理围栏”效应对部分场景的适应性来看，不同场景的落地时间差异显著。</w:t>
      </w:r>
    </w:p>
    <w:p w:rsidR="008A6711" w:rsidRPr="009E4763" w:rsidRDefault="008A6711" w:rsidP="008A6711">
      <w:pPr>
        <w:ind w:firstLineChars="200" w:firstLine="560"/>
        <w:rPr>
          <w:rFonts w:ascii="黑体" w:eastAsia="黑体" w:hAnsi="黑体"/>
          <w:kern w:val="0"/>
          <w:sz w:val="28"/>
          <w:szCs w:val="28"/>
        </w:rPr>
      </w:pPr>
      <w:r w:rsidRPr="005F7DD9">
        <w:rPr>
          <w:rFonts w:ascii="黑体" w:eastAsia="黑体" w:hAnsi="黑体"/>
          <w:kern w:val="0"/>
          <w:sz w:val="28"/>
          <w:szCs w:val="28"/>
        </w:rPr>
        <w:t>1</w:t>
      </w:r>
      <w:r w:rsidRPr="005F7DD9">
        <w:rPr>
          <w:rFonts w:ascii="黑体" w:eastAsia="黑体" w:hAnsi="黑体" w:hint="eastAsia"/>
          <w:kern w:val="0"/>
          <w:sz w:val="28"/>
          <w:szCs w:val="28"/>
        </w:rPr>
        <w:t>．</w:t>
      </w:r>
      <w:r w:rsidRPr="009E4763">
        <w:rPr>
          <w:rFonts w:ascii="黑体" w:eastAsia="黑体" w:hAnsi="黑体"/>
          <w:kern w:val="0"/>
          <w:sz w:val="28"/>
          <w:szCs w:val="28"/>
        </w:rPr>
        <w:t>乘用车</w:t>
      </w:r>
    </w:p>
    <w:p w:rsidR="008A6711" w:rsidRDefault="008A6711" w:rsidP="008A6711">
      <w:pPr>
        <w:ind w:firstLineChars="200" w:firstLine="560"/>
        <w:rPr>
          <w:rFonts w:ascii="宋体" w:hAnsi="宋体" w:cs="宋体"/>
          <w:sz w:val="28"/>
          <w:szCs w:val="28"/>
        </w:rPr>
      </w:pPr>
      <w:r w:rsidRPr="007C6308">
        <w:rPr>
          <w:rFonts w:ascii="宋体" w:hAnsi="宋体" w:cs="宋体"/>
          <w:sz w:val="28"/>
          <w:szCs w:val="28"/>
        </w:rPr>
        <w:t>乘用车，现阶段并没有完全出台与乘用车上路或量产的相关法律条文或政策文件，大部分解决方案无法满足L3~L5级别的技术条件，外加安全问题、法律责任问题、消费者认知普及问题等，目前来看落地有难度。</w:t>
      </w:r>
    </w:p>
    <w:p w:rsidR="008A6711" w:rsidRPr="009E4763" w:rsidRDefault="008A6711" w:rsidP="008A6711">
      <w:pPr>
        <w:ind w:firstLineChars="200" w:firstLine="560"/>
        <w:rPr>
          <w:rFonts w:ascii="黑体" w:eastAsia="黑体" w:hAnsi="黑体"/>
          <w:kern w:val="0"/>
          <w:sz w:val="28"/>
          <w:szCs w:val="28"/>
        </w:rPr>
      </w:pPr>
      <w:r>
        <w:rPr>
          <w:rFonts w:ascii="黑体" w:eastAsia="黑体" w:hAnsi="黑体"/>
          <w:kern w:val="0"/>
          <w:sz w:val="28"/>
          <w:szCs w:val="28"/>
        </w:rPr>
        <w:t>2</w:t>
      </w:r>
      <w:r w:rsidRPr="005F7DD9">
        <w:rPr>
          <w:rFonts w:ascii="黑体" w:eastAsia="黑体" w:hAnsi="黑体" w:hint="eastAsia"/>
          <w:kern w:val="0"/>
          <w:sz w:val="28"/>
          <w:szCs w:val="28"/>
        </w:rPr>
        <w:t>．</w:t>
      </w:r>
      <w:r w:rsidRPr="009E4763">
        <w:rPr>
          <w:rFonts w:ascii="黑体" w:eastAsia="黑体" w:hAnsi="黑体"/>
          <w:kern w:val="0"/>
          <w:sz w:val="28"/>
          <w:szCs w:val="28"/>
        </w:rPr>
        <w:t>商用车</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商用车，由于不同的适用场景，因此在落地性上各不相同，目前主流落地性较强的场景包括自动驾驶叫车服务、高速运输、港口货运、矿区、市政环卫以及“最后一公里”物流。在自动驾驶未能驶上高速公路之前，在“地理围栏”内选择合适的应用场景，被认为是自动驾驶下一步突破的关键。</w:t>
      </w:r>
    </w:p>
    <w:p w:rsidR="008A6711" w:rsidRPr="00FF79F7" w:rsidRDefault="008A6711" w:rsidP="008A6711">
      <w:pPr>
        <w:ind w:firstLineChars="200" w:firstLine="602"/>
        <w:rPr>
          <w:rFonts w:ascii="宋体" w:hAnsi="宋体"/>
          <w:b/>
          <w:color w:val="C00000"/>
          <w:kern w:val="0"/>
          <w:sz w:val="30"/>
          <w:szCs w:val="30"/>
        </w:rPr>
      </w:pPr>
      <w:r w:rsidRPr="00FF79F7">
        <w:rPr>
          <w:rFonts w:ascii="宋体" w:hAnsi="宋体" w:hint="eastAsia"/>
          <w:b/>
          <w:color w:val="C00000"/>
          <w:kern w:val="0"/>
          <w:sz w:val="30"/>
          <w:szCs w:val="30"/>
        </w:rPr>
        <w:t>（二）</w:t>
      </w:r>
      <w:r w:rsidRPr="00FF79F7">
        <w:rPr>
          <w:rFonts w:ascii="宋体" w:hAnsi="宋体"/>
          <w:b/>
          <w:color w:val="C00000"/>
          <w:kern w:val="0"/>
          <w:sz w:val="30"/>
          <w:szCs w:val="30"/>
        </w:rPr>
        <w:t>C-V2X落地日程清晰，车联网快速发展</w:t>
      </w:r>
    </w:p>
    <w:p w:rsidR="008A6711" w:rsidRPr="007C6308" w:rsidRDefault="008A6711" w:rsidP="008A6711">
      <w:pPr>
        <w:ind w:firstLineChars="200" w:firstLine="560"/>
        <w:rPr>
          <w:rFonts w:ascii="宋体" w:hAnsi="宋体" w:cs="宋体"/>
          <w:sz w:val="28"/>
          <w:szCs w:val="28"/>
        </w:rPr>
      </w:pPr>
      <w:r w:rsidRPr="007C6308">
        <w:rPr>
          <w:rFonts w:ascii="宋体" w:hAnsi="宋体" w:cs="宋体"/>
          <w:sz w:val="28"/>
          <w:szCs w:val="28"/>
        </w:rPr>
        <w:t>C-V2X已经得到我国政府、汽车、通信、交通等产业界相关各方的广泛认同，成为我国的唯一V2X技术选择。C-V2X将移动宽带和V2X直连技术融为一体，通过车联网平台实现数据和应用打通，能够提供</w:t>
      </w:r>
      <w:r w:rsidRPr="007C6308">
        <w:rPr>
          <w:rFonts w:ascii="宋体" w:hAnsi="宋体" w:cs="宋体"/>
          <w:sz w:val="28"/>
          <w:szCs w:val="28"/>
        </w:rPr>
        <w:lastRenderedPageBreak/>
        <w:t>更好的车-路-人-云协同和用户体验。对于辅助驾驶和自动驾驶来说，单纯靠汽车本身的传感器如摄像头、雷达等始终不能很好地应对一些特定场景，包括雨雪雾天、红绿灯识别、有遮挡情况下的识别以及大带宽、远距离的信息传递等，而这些场景却是C-V2X的强项。有了车与车（V2V）的通信，车与路边交通设施（V2I）的通信，让智慧的路和聪明的车有机协同，给汽车开启上帝视角，提升车的自动驾驶能力，有助于早日实现自动驾驶的规模商用。车联网可以有效弥补单车智能存在的能力盲区和感知不足的问题，提供中远程感知的上帝视角，对加速产业落地有着无可比拟的重要作用。</w:t>
      </w:r>
    </w:p>
    <w:p w:rsidR="008A6711" w:rsidRPr="00FF79F7" w:rsidRDefault="008A6711" w:rsidP="008A6711">
      <w:pPr>
        <w:ind w:firstLineChars="200" w:firstLine="602"/>
        <w:rPr>
          <w:rFonts w:ascii="宋体" w:hAnsi="宋体"/>
          <w:b/>
          <w:color w:val="C00000"/>
          <w:kern w:val="0"/>
          <w:sz w:val="30"/>
          <w:szCs w:val="30"/>
        </w:rPr>
      </w:pPr>
      <w:r w:rsidRPr="00FF79F7">
        <w:rPr>
          <w:rFonts w:ascii="宋体" w:hAnsi="宋体" w:hint="eastAsia"/>
          <w:b/>
          <w:color w:val="C00000"/>
          <w:kern w:val="0"/>
          <w:sz w:val="30"/>
          <w:szCs w:val="30"/>
        </w:rPr>
        <w:t>（三）</w:t>
      </w:r>
      <w:r w:rsidRPr="00FF79F7">
        <w:rPr>
          <w:rFonts w:ascii="宋体" w:hAnsi="宋体"/>
          <w:b/>
          <w:color w:val="C00000"/>
          <w:kern w:val="0"/>
          <w:sz w:val="30"/>
          <w:szCs w:val="30"/>
        </w:rPr>
        <w:t>基础大数据平台有效管控智能网联汽车运行</w:t>
      </w:r>
    </w:p>
    <w:p w:rsidR="008A6711" w:rsidRDefault="008A6711" w:rsidP="008A6711">
      <w:pPr>
        <w:ind w:firstLineChars="200" w:firstLine="560"/>
        <w:rPr>
          <w:rFonts w:ascii="宋体" w:hAnsi="宋体" w:cs="宋体"/>
          <w:sz w:val="28"/>
          <w:szCs w:val="28"/>
        </w:rPr>
      </w:pPr>
      <w:r w:rsidRPr="007C6308">
        <w:rPr>
          <w:rFonts w:ascii="宋体" w:hAnsi="宋体" w:cs="宋体"/>
          <w:sz w:val="28"/>
          <w:szCs w:val="28"/>
        </w:rPr>
        <w:t>未来智能网联汽车与交通数据量将非常庞大，必须建立多个应用服务平台共存，逐渐接入大量路侧设备的感知数据，实现智能网联汽车和路侧智能终端感知数据的融合。具体包括如下几点。</w:t>
      </w:r>
    </w:p>
    <w:p w:rsidR="008A6711" w:rsidRPr="005F7DD9" w:rsidRDefault="008A6711" w:rsidP="008A6711">
      <w:pPr>
        <w:ind w:firstLineChars="200" w:firstLine="560"/>
        <w:rPr>
          <w:rFonts w:ascii="黑体" w:eastAsia="黑体" w:hAnsi="黑体"/>
          <w:kern w:val="0"/>
          <w:sz w:val="28"/>
          <w:szCs w:val="28"/>
        </w:rPr>
      </w:pPr>
      <w:r w:rsidRPr="005F7DD9">
        <w:rPr>
          <w:rFonts w:ascii="黑体" w:eastAsia="黑体" w:hAnsi="黑体"/>
          <w:kern w:val="0"/>
          <w:sz w:val="28"/>
          <w:szCs w:val="28"/>
        </w:rPr>
        <w:t>1</w:t>
      </w:r>
      <w:r w:rsidRPr="005F7DD9">
        <w:rPr>
          <w:rFonts w:ascii="黑体" w:eastAsia="黑体" w:hAnsi="黑体" w:hint="eastAsia"/>
          <w:kern w:val="0"/>
          <w:sz w:val="28"/>
          <w:szCs w:val="28"/>
        </w:rPr>
        <w:t>．</w:t>
      </w:r>
      <w:r w:rsidRPr="005F7DD9">
        <w:rPr>
          <w:rFonts w:ascii="黑体" w:eastAsia="黑体" w:hAnsi="黑体"/>
          <w:kern w:val="0"/>
          <w:sz w:val="28"/>
          <w:szCs w:val="28"/>
        </w:rPr>
        <w:t>实时交互性</w:t>
      </w:r>
    </w:p>
    <w:p w:rsidR="008A6711" w:rsidRDefault="008A6711" w:rsidP="008A6711">
      <w:pPr>
        <w:ind w:firstLineChars="200" w:firstLine="560"/>
        <w:rPr>
          <w:rFonts w:ascii="宋体" w:hAnsi="宋体" w:cs="宋体"/>
          <w:sz w:val="28"/>
          <w:szCs w:val="28"/>
        </w:rPr>
      </w:pPr>
      <w:r w:rsidRPr="007F078B">
        <w:rPr>
          <w:rFonts w:ascii="宋体" w:hAnsi="宋体" w:cs="宋体"/>
          <w:sz w:val="28"/>
          <w:szCs w:val="28"/>
        </w:rPr>
        <w:t>通过车联网技术，能够实现其与周边车辆、行人等周边交通参与方的信息交互及其相关场景应用；与</w:t>
      </w:r>
      <w:proofErr w:type="gramStart"/>
      <w:r w:rsidRPr="007F078B">
        <w:rPr>
          <w:rFonts w:ascii="宋体" w:hAnsi="宋体" w:cs="宋体"/>
          <w:sz w:val="28"/>
          <w:szCs w:val="28"/>
        </w:rPr>
        <w:t>交通云控平台</w:t>
      </w:r>
      <w:proofErr w:type="gramEnd"/>
      <w:r w:rsidRPr="007F078B">
        <w:rPr>
          <w:rFonts w:ascii="宋体" w:hAnsi="宋体" w:cs="宋体"/>
          <w:sz w:val="28"/>
          <w:szCs w:val="28"/>
        </w:rPr>
        <w:t>交互获取全域交通信息，并共享给车辆、行人等交通参与者；能与自动驾驶汽车共享实时高精度地图和高精度传感器。</w:t>
      </w:r>
    </w:p>
    <w:p w:rsidR="008A6711" w:rsidRPr="005F7DD9" w:rsidRDefault="008A6711" w:rsidP="008A6711">
      <w:pPr>
        <w:ind w:firstLineChars="200" w:firstLine="560"/>
        <w:rPr>
          <w:rFonts w:ascii="黑体" w:eastAsia="黑体" w:hAnsi="黑体"/>
          <w:kern w:val="0"/>
          <w:sz w:val="28"/>
          <w:szCs w:val="28"/>
        </w:rPr>
      </w:pPr>
      <w:r w:rsidRPr="005F7DD9">
        <w:rPr>
          <w:rFonts w:ascii="黑体" w:eastAsia="黑体" w:hAnsi="黑体" w:hint="eastAsia"/>
          <w:kern w:val="0"/>
          <w:sz w:val="28"/>
          <w:szCs w:val="28"/>
        </w:rPr>
        <w:t>2．</w:t>
      </w:r>
      <w:r w:rsidRPr="005F7DD9">
        <w:rPr>
          <w:rFonts w:ascii="黑体" w:eastAsia="黑体" w:hAnsi="黑体"/>
          <w:kern w:val="0"/>
          <w:sz w:val="28"/>
          <w:szCs w:val="28"/>
        </w:rPr>
        <w:t>高精度定位</w:t>
      </w:r>
    </w:p>
    <w:p w:rsidR="008A6711" w:rsidRDefault="008A6711" w:rsidP="008A6711">
      <w:pPr>
        <w:ind w:firstLineChars="200" w:firstLine="560"/>
        <w:rPr>
          <w:rFonts w:ascii="宋体" w:hAnsi="宋体" w:cs="宋体"/>
          <w:sz w:val="28"/>
          <w:szCs w:val="28"/>
        </w:rPr>
      </w:pPr>
      <w:r w:rsidRPr="007F078B">
        <w:rPr>
          <w:rFonts w:ascii="宋体" w:hAnsi="宋体" w:cs="宋体"/>
          <w:sz w:val="28"/>
          <w:szCs w:val="28"/>
        </w:rPr>
        <w:t>在不依赖全球导航卫星系统（GNSS）和地基增强系统（GBAS）的前提下，路侧感知设备能够支持对以车辆、行人为主的交通全方位、全要素实行</w:t>
      </w:r>
      <w:proofErr w:type="gramStart"/>
      <w:r w:rsidRPr="007F078B">
        <w:rPr>
          <w:rFonts w:ascii="宋体" w:hAnsi="宋体" w:cs="宋体"/>
          <w:sz w:val="28"/>
          <w:szCs w:val="28"/>
        </w:rPr>
        <w:t>亚米级的</w:t>
      </w:r>
      <w:proofErr w:type="gramEnd"/>
      <w:r w:rsidRPr="007F078B">
        <w:rPr>
          <w:rFonts w:ascii="宋体" w:hAnsi="宋体" w:cs="宋体"/>
          <w:sz w:val="28"/>
          <w:szCs w:val="28"/>
        </w:rPr>
        <w:t>高精度定位，并共享给车辆、行人等交通参与者。</w:t>
      </w:r>
    </w:p>
    <w:p w:rsidR="008A6711" w:rsidRPr="005F7DD9" w:rsidRDefault="008A6711" w:rsidP="008A6711">
      <w:pPr>
        <w:ind w:firstLineChars="200" w:firstLine="560"/>
        <w:rPr>
          <w:rFonts w:ascii="黑体" w:eastAsia="黑体" w:hAnsi="黑体"/>
          <w:kern w:val="0"/>
          <w:sz w:val="28"/>
          <w:szCs w:val="28"/>
        </w:rPr>
      </w:pPr>
      <w:r w:rsidRPr="005F7DD9">
        <w:rPr>
          <w:rFonts w:ascii="黑体" w:eastAsia="黑体" w:hAnsi="黑体" w:hint="eastAsia"/>
          <w:kern w:val="0"/>
          <w:sz w:val="28"/>
          <w:szCs w:val="28"/>
        </w:rPr>
        <w:lastRenderedPageBreak/>
        <w:t>3．</w:t>
      </w:r>
      <w:r w:rsidRPr="005F7DD9">
        <w:rPr>
          <w:rFonts w:ascii="黑体" w:eastAsia="黑体" w:hAnsi="黑体"/>
          <w:kern w:val="0"/>
          <w:sz w:val="28"/>
          <w:szCs w:val="28"/>
        </w:rPr>
        <w:t>边缘（域）智能计算</w:t>
      </w:r>
    </w:p>
    <w:p w:rsidR="008A6711" w:rsidRPr="007F078B" w:rsidRDefault="008A6711" w:rsidP="008A6711">
      <w:pPr>
        <w:ind w:firstLineChars="200" w:firstLine="560"/>
        <w:rPr>
          <w:rFonts w:ascii="宋体" w:hAnsi="宋体" w:cs="宋体"/>
          <w:sz w:val="28"/>
          <w:szCs w:val="28"/>
        </w:rPr>
      </w:pPr>
      <w:r w:rsidRPr="007F078B">
        <w:rPr>
          <w:rFonts w:ascii="宋体" w:hAnsi="宋体" w:cs="宋体"/>
          <w:sz w:val="28"/>
          <w:szCs w:val="28"/>
        </w:rPr>
        <w:t>在路侧边缘（域）能够借助机器智能算法，以交通数据流整合为核心，支持实现智能交通物联网和信息网的融合，并构建起全局动态的交通管控系统、数据驱动的智能化协同管控系统。</w:t>
      </w:r>
    </w:p>
    <w:p w:rsidR="00AD4547" w:rsidRPr="002204E9" w:rsidRDefault="00AD4547" w:rsidP="00AD4547">
      <w:pPr>
        <w:rPr>
          <w:rFonts w:ascii="宋体" w:hAnsi="宋体"/>
          <w:color w:val="0070C0"/>
          <w:kern w:val="0"/>
          <w:sz w:val="28"/>
          <w:szCs w:val="28"/>
        </w:rPr>
      </w:pPr>
      <w:r>
        <w:rPr>
          <w:rFonts w:ascii="宋体" w:hAnsi="宋体" w:hint="eastAsia"/>
          <w:color w:val="0000FF"/>
          <w:kern w:val="0"/>
          <w:sz w:val="28"/>
          <w:szCs w:val="28"/>
        </w:rPr>
        <w:t>年份</w:t>
      </w:r>
      <w:r>
        <w:rPr>
          <w:rFonts w:ascii="宋体" w:hAnsi="宋体" w:hint="eastAsia"/>
          <w:color w:val="0000FF"/>
          <w:kern w:val="0"/>
          <w:sz w:val="28"/>
          <w:szCs w:val="28"/>
        </w:rPr>
        <w:tab/>
        <w:t>销量（千台）</w:t>
      </w:r>
      <w:r>
        <w:rPr>
          <w:rFonts w:ascii="宋体" w:hAnsi="宋体" w:hint="eastAsia"/>
          <w:color w:val="0000FF"/>
          <w:kern w:val="0"/>
          <w:sz w:val="28"/>
          <w:szCs w:val="28"/>
        </w:rPr>
        <w:tab/>
        <w:t>增速（</w:t>
      </w:r>
      <w:r w:rsidRPr="00FB3394">
        <w:rPr>
          <w:rFonts w:ascii="宋体" w:hAnsi="宋体" w:hint="eastAsia"/>
          <w:color w:val="0000FF"/>
          <w:kern w:val="0"/>
          <w:sz w:val="28"/>
          <w:szCs w:val="28"/>
        </w:rPr>
        <w:t>%</w:t>
      </w:r>
      <w:r>
        <w:rPr>
          <w:rFonts w:ascii="宋体" w:hAnsi="宋体" w:hint="eastAsia"/>
          <w:color w:val="0000FF"/>
          <w:kern w:val="0"/>
          <w:sz w:val="28"/>
          <w:szCs w:val="28"/>
        </w:rPr>
        <w:t>）</w:t>
      </w:r>
    </w:p>
    <w:p w:rsidR="00AD4547" w:rsidRPr="002204E9" w:rsidRDefault="00AD4547" w:rsidP="00AD4547">
      <w:pPr>
        <w:rPr>
          <w:rFonts w:ascii="宋体" w:hAnsi="宋体"/>
          <w:color w:val="0000FF"/>
          <w:kern w:val="0"/>
          <w:sz w:val="28"/>
          <w:szCs w:val="28"/>
        </w:rPr>
      </w:pPr>
      <w:r>
        <w:rPr>
          <w:rFonts w:ascii="宋体" w:hAnsi="宋体" w:hint="eastAsia"/>
          <w:color w:val="0000FF"/>
          <w:kern w:val="0"/>
          <w:sz w:val="28"/>
          <w:szCs w:val="28"/>
        </w:rPr>
        <w:t>2</w:t>
      </w:r>
      <w:r>
        <w:rPr>
          <w:rFonts w:ascii="宋体" w:hAnsi="宋体"/>
          <w:color w:val="0000FF"/>
          <w:kern w:val="0"/>
          <w:sz w:val="28"/>
          <w:szCs w:val="28"/>
        </w:rPr>
        <w:t>019</w:t>
      </w:r>
      <w:r>
        <w:rPr>
          <w:rFonts w:ascii="宋体" w:hAnsi="宋体" w:hint="eastAsia"/>
          <w:color w:val="0000FF"/>
          <w:kern w:val="0"/>
          <w:sz w:val="28"/>
          <w:szCs w:val="28"/>
        </w:rPr>
        <w:tab/>
      </w:r>
      <w:r>
        <w:rPr>
          <w:rFonts w:ascii="宋体" w:hAnsi="宋体"/>
          <w:color w:val="0000FF"/>
          <w:kern w:val="0"/>
          <w:sz w:val="28"/>
          <w:szCs w:val="28"/>
        </w:rPr>
        <w:t>7200</w:t>
      </w:r>
      <w:r w:rsidRPr="002204E9">
        <w:rPr>
          <w:rFonts w:ascii="宋体" w:hAnsi="宋体" w:hint="eastAsia"/>
          <w:color w:val="0000FF"/>
          <w:kern w:val="0"/>
          <w:sz w:val="28"/>
          <w:szCs w:val="28"/>
        </w:rPr>
        <w:tab/>
      </w:r>
      <w:r>
        <w:rPr>
          <w:rFonts w:ascii="宋体" w:hAnsi="宋体"/>
          <w:color w:val="0000FF"/>
          <w:kern w:val="0"/>
          <w:sz w:val="28"/>
          <w:szCs w:val="28"/>
        </w:rPr>
        <w:t>19.18%</w:t>
      </w:r>
    </w:p>
    <w:p w:rsidR="00AD4547" w:rsidRPr="002204E9" w:rsidRDefault="00AD4547" w:rsidP="00AD4547">
      <w:pPr>
        <w:rPr>
          <w:rFonts w:ascii="宋体" w:hAnsi="宋体"/>
          <w:color w:val="0000FF"/>
          <w:kern w:val="0"/>
          <w:sz w:val="28"/>
          <w:szCs w:val="28"/>
        </w:rPr>
      </w:pPr>
      <w:r>
        <w:rPr>
          <w:rFonts w:ascii="宋体" w:hAnsi="宋体" w:hint="eastAsia"/>
          <w:color w:val="0000FF"/>
          <w:kern w:val="0"/>
          <w:sz w:val="28"/>
          <w:szCs w:val="28"/>
        </w:rPr>
        <w:t>2</w:t>
      </w:r>
      <w:r>
        <w:rPr>
          <w:rFonts w:ascii="宋体" w:hAnsi="宋体"/>
          <w:color w:val="0000FF"/>
          <w:kern w:val="0"/>
          <w:sz w:val="28"/>
          <w:szCs w:val="28"/>
        </w:rPr>
        <w:t>020</w:t>
      </w:r>
      <w:r>
        <w:rPr>
          <w:rFonts w:ascii="宋体" w:hAnsi="宋体" w:hint="eastAsia"/>
          <w:color w:val="0000FF"/>
          <w:kern w:val="0"/>
          <w:sz w:val="28"/>
          <w:szCs w:val="28"/>
        </w:rPr>
        <w:tab/>
      </w:r>
      <w:r>
        <w:rPr>
          <w:rFonts w:ascii="宋体" w:hAnsi="宋体"/>
          <w:color w:val="0000FF"/>
          <w:kern w:val="0"/>
          <w:sz w:val="28"/>
          <w:szCs w:val="28"/>
        </w:rPr>
        <w:t>9348</w:t>
      </w:r>
      <w:r w:rsidRPr="002204E9">
        <w:rPr>
          <w:rFonts w:ascii="宋体" w:hAnsi="宋体" w:hint="eastAsia"/>
          <w:color w:val="0000FF"/>
          <w:kern w:val="0"/>
          <w:sz w:val="28"/>
          <w:szCs w:val="28"/>
        </w:rPr>
        <w:tab/>
      </w:r>
      <w:r>
        <w:rPr>
          <w:rFonts w:ascii="宋体" w:hAnsi="宋体"/>
          <w:color w:val="0000FF"/>
          <w:kern w:val="0"/>
          <w:sz w:val="28"/>
          <w:szCs w:val="28"/>
        </w:rPr>
        <w:t>29</w:t>
      </w:r>
      <w:r>
        <w:rPr>
          <w:rFonts w:ascii="宋体" w:hAnsi="宋体" w:hint="eastAsia"/>
          <w:color w:val="0000FF"/>
          <w:kern w:val="0"/>
          <w:sz w:val="28"/>
          <w:szCs w:val="28"/>
        </w:rPr>
        <w:t>.</w:t>
      </w:r>
      <w:r>
        <w:rPr>
          <w:rFonts w:ascii="宋体" w:hAnsi="宋体"/>
          <w:color w:val="0000FF"/>
          <w:kern w:val="0"/>
          <w:sz w:val="28"/>
          <w:szCs w:val="28"/>
        </w:rPr>
        <w:t>83</w:t>
      </w:r>
      <w:r w:rsidRPr="002204E9">
        <w:rPr>
          <w:rFonts w:ascii="宋体" w:hAnsi="宋体" w:hint="eastAsia"/>
          <w:color w:val="0000FF"/>
          <w:kern w:val="0"/>
          <w:sz w:val="28"/>
          <w:szCs w:val="28"/>
        </w:rPr>
        <w:t>%</w:t>
      </w:r>
    </w:p>
    <w:p w:rsidR="00AD4547" w:rsidRPr="002204E9" w:rsidRDefault="00AD4547" w:rsidP="00AD4547">
      <w:pPr>
        <w:rPr>
          <w:rFonts w:ascii="宋体" w:hAnsi="宋体"/>
          <w:color w:val="0000FF"/>
          <w:kern w:val="0"/>
          <w:sz w:val="28"/>
          <w:szCs w:val="28"/>
        </w:rPr>
      </w:pPr>
      <w:r>
        <w:rPr>
          <w:rFonts w:ascii="宋体" w:hAnsi="宋体" w:hint="eastAsia"/>
          <w:color w:val="0000FF"/>
          <w:kern w:val="0"/>
          <w:sz w:val="28"/>
          <w:szCs w:val="28"/>
        </w:rPr>
        <w:t>2</w:t>
      </w:r>
      <w:r>
        <w:rPr>
          <w:rFonts w:ascii="宋体" w:hAnsi="宋体"/>
          <w:color w:val="0000FF"/>
          <w:kern w:val="0"/>
          <w:sz w:val="28"/>
          <w:szCs w:val="28"/>
        </w:rPr>
        <w:t>021</w:t>
      </w:r>
      <w:r>
        <w:rPr>
          <w:rFonts w:ascii="宋体" w:hAnsi="宋体" w:hint="eastAsia"/>
          <w:color w:val="0000FF"/>
          <w:kern w:val="0"/>
          <w:sz w:val="28"/>
          <w:szCs w:val="28"/>
        </w:rPr>
        <w:tab/>
      </w:r>
      <w:r>
        <w:rPr>
          <w:rFonts w:ascii="宋体" w:hAnsi="宋体"/>
          <w:color w:val="0000FF"/>
          <w:kern w:val="0"/>
          <w:sz w:val="28"/>
          <w:szCs w:val="28"/>
        </w:rPr>
        <w:t>11876</w:t>
      </w:r>
      <w:r w:rsidRPr="002204E9">
        <w:rPr>
          <w:rFonts w:ascii="宋体" w:hAnsi="宋体" w:hint="eastAsia"/>
          <w:color w:val="0000FF"/>
          <w:kern w:val="0"/>
          <w:sz w:val="28"/>
          <w:szCs w:val="28"/>
        </w:rPr>
        <w:tab/>
      </w:r>
      <w:r>
        <w:rPr>
          <w:rFonts w:ascii="宋体" w:hAnsi="宋体"/>
          <w:color w:val="0000FF"/>
          <w:kern w:val="0"/>
          <w:sz w:val="28"/>
          <w:szCs w:val="28"/>
        </w:rPr>
        <w:t>26.95</w:t>
      </w:r>
      <w:r w:rsidRPr="002204E9">
        <w:rPr>
          <w:rFonts w:ascii="宋体" w:hAnsi="宋体" w:hint="eastAsia"/>
          <w:color w:val="0000FF"/>
          <w:kern w:val="0"/>
          <w:sz w:val="28"/>
          <w:szCs w:val="28"/>
        </w:rPr>
        <w:t>%</w:t>
      </w:r>
    </w:p>
    <w:p w:rsidR="00AD4547" w:rsidRPr="002204E9" w:rsidRDefault="00AD4547" w:rsidP="00AD4547">
      <w:pPr>
        <w:rPr>
          <w:rFonts w:ascii="宋体" w:hAnsi="宋体"/>
          <w:color w:val="0000FF"/>
          <w:kern w:val="0"/>
          <w:sz w:val="28"/>
          <w:szCs w:val="28"/>
        </w:rPr>
      </w:pPr>
      <w:r>
        <w:rPr>
          <w:rFonts w:ascii="宋体" w:hAnsi="宋体" w:hint="eastAsia"/>
          <w:color w:val="0000FF"/>
          <w:kern w:val="0"/>
          <w:sz w:val="28"/>
          <w:szCs w:val="28"/>
        </w:rPr>
        <w:t>2</w:t>
      </w:r>
      <w:r>
        <w:rPr>
          <w:rFonts w:ascii="宋体" w:hAnsi="宋体"/>
          <w:color w:val="0000FF"/>
          <w:kern w:val="0"/>
          <w:sz w:val="28"/>
          <w:szCs w:val="28"/>
        </w:rPr>
        <w:t>022</w:t>
      </w:r>
      <w:r>
        <w:rPr>
          <w:rFonts w:ascii="宋体" w:hAnsi="宋体" w:hint="eastAsia"/>
          <w:color w:val="0000FF"/>
          <w:kern w:val="0"/>
          <w:sz w:val="28"/>
          <w:szCs w:val="28"/>
        </w:rPr>
        <w:tab/>
      </w:r>
      <w:r>
        <w:rPr>
          <w:rFonts w:ascii="宋体" w:hAnsi="宋体"/>
          <w:color w:val="0000FF"/>
          <w:kern w:val="0"/>
          <w:sz w:val="28"/>
          <w:szCs w:val="28"/>
        </w:rPr>
        <w:t>13208</w:t>
      </w:r>
      <w:r w:rsidRPr="002204E9">
        <w:rPr>
          <w:rFonts w:ascii="宋体" w:hAnsi="宋体" w:hint="eastAsia"/>
          <w:color w:val="0000FF"/>
          <w:kern w:val="0"/>
          <w:sz w:val="28"/>
          <w:szCs w:val="28"/>
        </w:rPr>
        <w:tab/>
      </w:r>
      <w:r>
        <w:rPr>
          <w:rFonts w:ascii="宋体" w:hAnsi="宋体"/>
          <w:color w:val="0000FF"/>
          <w:kern w:val="0"/>
          <w:sz w:val="28"/>
          <w:szCs w:val="28"/>
        </w:rPr>
        <w:t>11.30</w:t>
      </w:r>
      <w:r w:rsidRPr="002204E9">
        <w:rPr>
          <w:rFonts w:ascii="宋体" w:hAnsi="宋体" w:hint="eastAsia"/>
          <w:color w:val="0000FF"/>
          <w:kern w:val="0"/>
          <w:sz w:val="28"/>
          <w:szCs w:val="28"/>
        </w:rPr>
        <w:t>%</w:t>
      </w:r>
    </w:p>
    <w:p w:rsidR="00AD4547" w:rsidRPr="002204E9" w:rsidRDefault="00AD4547" w:rsidP="00AD4547">
      <w:pPr>
        <w:rPr>
          <w:rFonts w:ascii="宋体" w:hAnsi="宋体"/>
          <w:color w:val="0000FF"/>
          <w:kern w:val="0"/>
          <w:sz w:val="28"/>
          <w:szCs w:val="28"/>
        </w:rPr>
      </w:pPr>
      <w:r>
        <w:rPr>
          <w:rFonts w:ascii="宋体" w:hAnsi="宋体" w:hint="eastAsia"/>
          <w:color w:val="0000FF"/>
          <w:kern w:val="0"/>
          <w:sz w:val="28"/>
          <w:szCs w:val="28"/>
        </w:rPr>
        <w:t>2</w:t>
      </w:r>
      <w:r>
        <w:rPr>
          <w:rFonts w:ascii="宋体" w:hAnsi="宋体"/>
          <w:color w:val="0000FF"/>
          <w:kern w:val="0"/>
          <w:sz w:val="28"/>
          <w:szCs w:val="28"/>
        </w:rPr>
        <w:t>023</w:t>
      </w:r>
      <w:r>
        <w:rPr>
          <w:rFonts w:ascii="宋体" w:hAnsi="宋体" w:hint="eastAsia"/>
          <w:color w:val="0000FF"/>
          <w:kern w:val="0"/>
          <w:sz w:val="28"/>
          <w:szCs w:val="28"/>
        </w:rPr>
        <w:tab/>
      </w:r>
      <w:r>
        <w:rPr>
          <w:rFonts w:ascii="宋体" w:hAnsi="宋体"/>
          <w:color w:val="0000FF"/>
          <w:kern w:val="0"/>
          <w:sz w:val="28"/>
          <w:szCs w:val="28"/>
        </w:rPr>
        <w:t>14811</w:t>
      </w:r>
      <w:r w:rsidRPr="002204E9">
        <w:rPr>
          <w:rFonts w:ascii="宋体" w:hAnsi="宋体" w:hint="eastAsia"/>
          <w:color w:val="0000FF"/>
          <w:kern w:val="0"/>
          <w:sz w:val="28"/>
          <w:szCs w:val="28"/>
        </w:rPr>
        <w:tab/>
      </w:r>
      <w:r>
        <w:rPr>
          <w:rFonts w:ascii="宋体" w:hAnsi="宋体"/>
          <w:color w:val="0000FF"/>
          <w:kern w:val="0"/>
          <w:sz w:val="28"/>
          <w:szCs w:val="28"/>
        </w:rPr>
        <w:t>12.14</w:t>
      </w:r>
      <w:r w:rsidRPr="002204E9">
        <w:rPr>
          <w:rFonts w:ascii="宋体" w:hAnsi="宋体" w:hint="eastAsia"/>
          <w:color w:val="0000FF"/>
          <w:kern w:val="0"/>
          <w:sz w:val="28"/>
          <w:szCs w:val="28"/>
        </w:rPr>
        <w:t>%</w:t>
      </w:r>
    </w:p>
    <w:p w:rsidR="00B63E29" w:rsidRPr="008A6711" w:rsidRDefault="00B63E29" w:rsidP="008A6711">
      <w:bookmarkStart w:id="0" w:name="_GoBack"/>
      <w:bookmarkEnd w:id="0"/>
    </w:p>
    <w:sectPr w:rsidR="00B63E29" w:rsidRPr="008A6711" w:rsidSect="003D21F7">
      <w:headerReference w:type="default" r:id="rId7"/>
      <w:footerReference w:type="even" r:id="rId8"/>
      <w:footerReference w:type="default" r:id="rId9"/>
      <w:pgSz w:w="11906" w:h="16838"/>
      <w:pgMar w:top="1440" w:right="1800" w:bottom="1440" w:left="1800" w:header="851" w:footer="851" w:gutter="0"/>
      <w:pgNumType w:start="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C22" w:rsidRDefault="00577C22">
      <w:r>
        <w:separator/>
      </w:r>
    </w:p>
  </w:endnote>
  <w:endnote w:type="continuationSeparator" w:id="0">
    <w:p w:rsidR="00577C22" w:rsidRDefault="00577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1D5" w:rsidRDefault="00FA31D5" w:rsidP="00FA31D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A31D5" w:rsidRDefault="00FA31D5" w:rsidP="00FA31D5">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1D5" w:rsidRDefault="00FA31D5" w:rsidP="00FA31D5">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C22" w:rsidRDefault="00577C22">
      <w:r>
        <w:separator/>
      </w:r>
    </w:p>
  </w:footnote>
  <w:footnote w:type="continuationSeparator" w:id="0">
    <w:p w:rsidR="00577C22" w:rsidRDefault="00577C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1D5" w:rsidRDefault="00FA31D5" w:rsidP="00FA31D5">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6AF"/>
    <w:rsid w:val="00003761"/>
    <w:rsid w:val="00005AD7"/>
    <w:rsid w:val="00017053"/>
    <w:rsid w:val="000206AF"/>
    <w:rsid w:val="0003029D"/>
    <w:rsid w:val="00086C15"/>
    <w:rsid w:val="000B0AA7"/>
    <w:rsid w:val="000E333B"/>
    <w:rsid w:val="00105F8E"/>
    <w:rsid w:val="00136543"/>
    <w:rsid w:val="00167E75"/>
    <w:rsid w:val="001A73E3"/>
    <w:rsid w:val="001C3F8C"/>
    <w:rsid w:val="001C5B5A"/>
    <w:rsid w:val="001D434D"/>
    <w:rsid w:val="001F25F7"/>
    <w:rsid w:val="00203A22"/>
    <w:rsid w:val="00220CA9"/>
    <w:rsid w:val="002223AA"/>
    <w:rsid w:val="0025165F"/>
    <w:rsid w:val="002563CB"/>
    <w:rsid w:val="0027311F"/>
    <w:rsid w:val="00295DAF"/>
    <w:rsid w:val="002C7711"/>
    <w:rsid w:val="002D0789"/>
    <w:rsid w:val="002D2336"/>
    <w:rsid w:val="002F21C0"/>
    <w:rsid w:val="00333D21"/>
    <w:rsid w:val="00344780"/>
    <w:rsid w:val="00357076"/>
    <w:rsid w:val="003665D9"/>
    <w:rsid w:val="00392120"/>
    <w:rsid w:val="003D0593"/>
    <w:rsid w:val="003D17F1"/>
    <w:rsid w:val="003D21F7"/>
    <w:rsid w:val="003D5B56"/>
    <w:rsid w:val="00404896"/>
    <w:rsid w:val="004106E0"/>
    <w:rsid w:val="0045278B"/>
    <w:rsid w:val="00456A04"/>
    <w:rsid w:val="00463FCF"/>
    <w:rsid w:val="00465BFB"/>
    <w:rsid w:val="0048638E"/>
    <w:rsid w:val="004C37A4"/>
    <w:rsid w:val="004C3DBD"/>
    <w:rsid w:val="004E7727"/>
    <w:rsid w:val="00507296"/>
    <w:rsid w:val="005267D2"/>
    <w:rsid w:val="00542FF5"/>
    <w:rsid w:val="00543075"/>
    <w:rsid w:val="005525E1"/>
    <w:rsid w:val="00577C22"/>
    <w:rsid w:val="005A3AC0"/>
    <w:rsid w:val="005A73F1"/>
    <w:rsid w:val="0060078C"/>
    <w:rsid w:val="00603807"/>
    <w:rsid w:val="006139DA"/>
    <w:rsid w:val="006157DE"/>
    <w:rsid w:val="00667AAF"/>
    <w:rsid w:val="00673EE1"/>
    <w:rsid w:val="006749D1"/>
    <w:rsid w:val="00684291"/>
    <w:rsid w:val="006B0F9E"/>
    <w:rsid w:val="006E35BD"/>
    <w:rsid w:val="00703453"/>
    <w:rsid w:val="00707BEA"/>
    <w:rsid w:val="007122AB"/>
    <w:rsid w:val="00723640"/>
    <w:rsid w:val="0074068E"/>
    <w:rsid w:val="00745715"/>
    <w:rsid w:val="007650AE"/>
    <w:rsid w:val="007703F3"/>
    <w:rsid w:val="007C656F"/>
    <w:rsid w:val="007E71AE"/>
    <w:rsid w:val="008157D0"/>
    <w:rsid w:val="00832CED"/>
    <w:rsid w:val="008355F3"/>
    <w:rsid w:val="0085116B"/>
    <w:rsid w:val="008579C9"/>
    <w:rsid w:val="008A6711"/>
    <w:rsid w:val="008D64AC"/>
    <w:rsid w:val="008E2FD2"/>
    <w:rsid w:val="00942B51"/>
    <w:rsid w:val="00972CC9"/>
    <w:rsid w:val="009773ED"/>
    <w:rsid w:val="009860ED"/>
    <w:rsid w:val="009906B3"/>
    <w:rsid w:val="00990EFE"/>
    <w:rsid w:val="009A0E62"/>
    <w:rsid w:val="009B5272"/>
    <w:rsid w:val="009D1EF9"/>
    <w:rsid w:val="009D4ADE"/>
    <w:rsid w:val="009D6219"/>
    <w:rsid w:val="009E6B3C"/>
    <w:rsid w:val="009F42E4"/>
    <w:rsid w:val="00A069BD"/>
    <w:rsid w:val="00A81B2E"/>
    <w:rsid w:val="00A82576"/>
    <w:rsid w:val="00AB386C"/>
    <w:rsid w:val="00AC02A7"/>
    <w:rsid w:val="00AD4547"/>
    <w:rsid w:val="00AE5F7D"/>
    <w:rsid w:val="00B00082"/>
    <w:rsid w:val="00B05B6F"/>
    <w:rsid w:val="00B07E03"/>
    <w:rsid w:val="00B109CD"/>
    <w:rsid w:val="00B254BB"/>
    <w:rsid w:val="00B30717"/>
    <w:rsid w:val="00B440B7"/>
    <w:rsid w:val="00B63E29"/>
    <w:rsid w:val="00B71C1C"/>
    <w:rsid w:val="00B72430"/>
    <w:rsid w:val="00BD0721"/>
    <w:rsid w:val="00BE6B76"/>
    <w:rsid w:val="00BF36DC"/>
    <w:rsid w:val="00C5108D"/>
    <w:rsid w:val="00C5300B"/>
    <w:rsid w:val="00C56400"/>
    <w:rsid w:val="00C57C8E"/>
    <w:rsid w:val="00C75282"/>
    <w:rsid w:val="00CA30AC"/>
    <w:rsid w:val="00D525BB"/>
    <w:rsid w:val="00D843DA"/>
    <w:rsid w:val="00DB208F"/>
    <w:rsid w:val="00DB6565"/>
    <w:rsid w:val="00DC7DBC"/>
    <w:rsid w:val="00E002CE"/>
    <w:rsid w:val="00E2236F"/>
    <w:rsid w:val="00E25070"/>
    <w:rsid w:val="00E502AB"/>
    <w:rsid w:val="00E537D4"/>
    <w:rsid w:val="00E60B66"/>
    <w:rsid w:val="00E64B89"/>
    <w:rsid w:val="00E915BD"/>
    <w:rsid w:val="00E97A86"/>
    <w:rsid w:val="00EE6015"/>
    <w:rsid w:val="00EE61A9"/>
    <w:rsid w:val="00F07839"/>
    <w:rsid w:val="00F15B21"/>
    <w:rsid w:val="00F44DB0"/>
    <w:rsid w:val="00F50875"/>
    <w:rsid w:val="00F56309"/>
    <w:rsid w:val="00F703AD"/>
    <w:rsid w:val="00F775FE"/>
    <w:rsid w:val="00F81ED7"/>
    <w:rsid w:val="00F85F68"/>
    <w:rsid w:val="00FA31D5"/>
    <w:rsid w:val="00FB14C8"/>
    <w:rsid w:val="00FB3394"/>
    <w:rsid w:val="00FC0E53"/>
    <w:rsid w:val="00FE1FAF"/>
    <w:rsid w:val="00FE4D14"/>
    <w:rsid w:val="00FF0F83"/>
    <w:rsid w:val="00FF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2BB38A-748F-4925-8779-7B078016B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6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206AF"/>
    <w:pPr>
      <w:tabs>
        <w:tab w:val="center" w:pos="4153"/>
        <w:tab w:val="right" w:pos="8306"/>
      </w:tabs>
      <w:snapToGrid w:val="0"/>
      <w:jc w:val="left"/>
    </w:pPr>
    <w:rPr>
      <w:sz w:val="18"/>
      <w:szCs w:val="18"/>
    </w:rPr>
  </w:style>
  <w:style w:type="character" w:customStyle="1" w:styleId="a4">
    <w:name w:val="页脚 字符"/>
    <w:basedOn w:val="a0"/>
    <w:link w:val="a3"/>
    <w:rsid w:val="000206AF"/>
    <w:rPr>
      <w:rFonts w:ascii="Times New Roman" w:eastAsia="宋体" w:hAnsi="Times New Roman" w:cs="Times New Roman"/>
      <w:sz w:val="18"/>
      <w:szCs w:val="18"/>
    </w:rPr>
  </w:style>
  <w:style w:type="character" w:styleId="a5">
    <w:name w:val="page number"/>
    <w:basedOn w:val="a0"/>
    <w:rsid w:val="000206AF"/>
  </w:style>
  <w:style w:type="paragraph" w:styleId="a6">
    <w:name w:val="header"/>
    <w:basedOn w:val="a"/>
    <w:link w:val="a7"/>
    <w:rsid w:val="000206AF"/>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0206AF"/>
    <w:rPr>
      <w:rFonts w:ascii="Times New Roman" w:eastAsia="宋体" w:hAnsi="Times New Roman" w:cs="Times New Roman"/>
      <w:sz w:val="18"/>
      <w:szCs w:val="18"/>
    </w:rPr>
  </w:style>
  <w:style w:type="character" w:styleId="a8">
    <w:name w:val="Hyperlink"/>
    <w:basedOn w:val="a0"/>
    <w:uiPriority w:val="99"/>
    <w:unhideWhenUsed/>
    <w:rsid w:val="004106E0"/>
    <w:rPr>
      <w:color w:val="0000FF" w:themeColor="hyperlink"/>
      <w:u w:val="single"/>
    </w:rPr>
  </w:style>
  <w:style w:type="table" w:styleId="a9">
    <w:name w:val="Table Grid"/>
    <w:basedOn w:val="a1"/>
    <w:uiPriority w:val="59"/>
    <w:rsid w:val="007C6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599836">
      <w:bodyDiv w:val="1"/>
      <w:marLeft w:val="0"/>
      <w:marRight w:val="0"/>
      <w:marTop w:val="0"/>
      <w:marBottom w:val="0"/>
      <w:divBdr>
        <w:top w:val="none" w:sz="0" w:space="0" w:color="auto"/>
        <w:left w:val="none" w:sz="0" w:space="0" w:color="auto"/>
        <w:bottom w:val="none" w:sz="0" w:space="0" w:color="auto"/>
        <w:right w:val="none" w:sz="0" w:space="0" w:color="auto"/>
      </w:divBdr>
    </w:div>
    <w:div w:id="179779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29731-8CCA-4310-A7C3-25A108CA4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628</Words>
  <Characters>3584</Characters>
  <Application>Microsoft Office Word</Application>
  <DocSecurity>0</DocSecurity>
  <Lines>29</Lines>
  <Paragraphs>8</Paragraphs>
  <ScaleCrop>false</ScaleCrop>
  <Company> </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jiyan</dc:creator>
  <cp:lastModifiedBy>Windows 用户</cp:lastModifiedBy>
  <cp:revision>5</cp:revision>
  <dcterms:created xsi:type="dcterms:W3CDTF">2024-05-07T07:45:00Z</dcterms:created>
  <dcterms:modified xsi:type="dcterms:W3CDTF">2024-05-08T03:03:00Z</dcterms:modified>
</cp:coreProperties>
</file>