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B29" w:rsidRDefault="00A61B29" w:rsidP="0060757B">
      <w:pPr>
        <w:rPr>
          <w:rFonts w:asciiTheme="minorEastAsia" w:hAnsiTheme="minorEastAsia"/>
          <w:sz w:val="24"/>
          <w:szCs w:val="24"/>
        </w:rPr>
      </w:pPr>
      <w:r w:rsidRPr="00A61B29">
        <w:rPr>
          <w:rFonts w:asciiTheme="minorEastAsia" w:hAnsiTheme="minorEastAsia" w:hint="eastAsia"/>
          <w:sz w:val="24"/>
          <w:szCs w:val="24"/>
        </w:rPr>
        <w:t>进博会的</w:t>
      </w:r>
      <w:r>
        <w:rPr>
          <w:rFonts w:asciiTheme="minorEastAsia" w:hAnsiTheme="minorEastAsia" w:hint="eastAsia"/>
          <w:sz w:val="24"/>
          <w:szCs w:val="24"/>
        </w:rPr>
        <w:t>“</w:t>
      </w:r>
      <w:r w:rsidRPr="00A61B29">
        <w:rPr>
          <w:rFonts w:asciiTheme="minorEastAsia" w:hAnsiTheme="minorEastAsia" w:hint="eastAsia"/>
          <w:sz w:val="24"/>
          <w:szCs w:val="24"/>
        </w:rPr>
        <w:t>变</w:t>
      </w:r>
      <w:r>
        <w:rPr>
          <w:rFonts w:asciiTheme="minorEastAsia" w:hAnsiTheme="minorEastAsia" w:hint="eastAsia"/>
          <w:sz w:val="24"/>
          <w:szCs w:val="24"/>
        </w:rPr>
        <w:t>”</w:t>
      </w:r>
      <w:r w:rsidRPr="00A61B29">
        <w:rPr>
          <w:rFonts w:asciiTheme="minorEastAsia" w:hAnsiTheme="minorEastAsia" w:hint="eastAsia"/>
          <w:sz w:val="24"/>
          <w:szCs w:val="24"/>
        </w:rPr>
        <w:t>与</w:t>
      </w:r>
      <w:r>
        <w:rPr>
          <w:rFonts w:asciiTheme="minorEastAsia" w:hAnsiTheme="minorEastAsia" w:hint="eastAsia"/>
          <w:sz w:val="24"/>
          <w:szCs w:val="24"/>
        </w:rPr>
        <w:t>“</w:t>
      </w:r>
      <w:r w:rsidRPr="00A61B29">
        <w:rPr>
          <w:rFonts w:asciiTheme="minorEastAsia" w:hAnsiTheme="minorEastAsia" w:hint="eastAsia"/>
          <w:sz w:val="24"/>
          <w:szCs w:val="24"/>
        </w:rPr>
        <w:t>不变</w:t>
      </w:r>
      <w:r>
        <w:rPr>
          <w:rFonts w:asciiTheme="minorEastAsia" w:hAnsiTheme="minorEastAsia" w:hint="eastAsia"/>
          <w:sz w:val="24"/>
          <w:szCs w:val="24"/>
        </w:rPr>
        <w:t>”</w:t>
      </w:r>
    </w:p>
    <w:p w:rsidR="00782226" w:rsidRDefault="00782226" w:rsidP="0060757B">
      <w:pPr>
        <w:rPr>
          <w:rFonts w:asciiTheme="minorEastAsia" w:hAnsiTheme="minorEastAsia"/>
          <w:sz w:val="24"/>
          <w:szCs w:val="24"/>
        </w:rPr>
      </w:pPr>
      <w:r w:rsidRPr="0060757B">
        <w:rPr>
          <w:rFonts w:asciiTheme="minorEastAsia" w:hAnsiTheme="minorEastAsia" w:hint="eastAsia"/>
          <w:sz w:val="24"/>
          <w:szCs w:val="24"/>
        </w:rPr>
        <w:t>世界上第一个以进口为主题的国家级展会</w:t>
      </w:r>
    </w:p>
    <w:p w:rsidR="0060757B" w:rsidRPr="0060757B" w:rsidRDefault="008B15BD" w:rsidP="0060757B">
      <w:pPr>
        <w:rPr>
          <w:rFonts w:asciiTheme="minorEastAsia" w:hAnsiTheme="minorEastAsia"/>
          <w:sz w:val="24"/>
          <w:szCs w:val="24"/>
        </w:rPr>
      </w:pPr>
      <w:r w:rsidRPr="00897F3B">
        <w:rPr>
          <w:rFonts w:asciiTheme="minorEastAsia" w:hAnsiTheme="minorEastAsia"/>
          <w:sz w:val="24"/>
          <w:szCs w:val="24"/>
        </w:rPr>
        <w:t>上海</w:t>
      </w:r>
      <w:r w:rsidR="00897F3B" w:rsidRPr="00897F3B">
        <w:rPr>
          <w:rFonts w:asciiTheme="minorEastAsia" w:hAnsiTheme="minorEastAsia"/>
          <w:sz w:val="24"/>
          <w:szCs w:val="24"/>
        </w:rPr>
        <w:t>国家会展中心</w:t>
      </w:r>
      <w:r w:rsidRPr="008B15BD">
        <w:rPr>
          <w:rFonts w:asciiTheme="minorEastAsia" w:hAnsiTheme="minorEastAsia"/>
          <w:sz w:val="24"/>
          <w:szCs w:val="24"/>
        </w:rPr>
        <w:t>2023年11月</w:t>
      </w:r>
      <w:r w:rsidR="00F140DC">
        <w:rPr>
          <w:rFonts w:asciiTheme="minorEastAsia" w:hAnsiTheme="minorEastAsia"/>
          <w:sz w:val="24"/>
          <w:szCs w:val="24"/>
        </w:rPr>
        <w:t>2</w:t>
      </w:r>
      <w:r w:rsidRPr="008B15BD">
        <w:rPr>
          <w:rFonts w:asciiTheme="minorEastAsia" w:hAnsiTheme="minorEastAsia"/>
          <w:sz w:val="24"/>
          <w:szCs w:val="24"/>
        </w:rPr>
        <w:t>日</w:t>
      </w:r>
      <w:r>
        <w:rPr>
          <w:rFonts w:asciiTheme="minorEastAsia" w:hAnsiTheme="minorEastAsia" w:hint="eastAsia"/>
          <w:sz w:val="24"/>
          <w:szCs w:val="24"/>
        </w:rPr>
        <w:t xml:space="preserve">讯 </w:t>
      </w:r>
      <w:r w:rsidR="009123CA">
        <w:rPr>
          <w:rFonts w:asciiTheme="minorEastAsia" w:hAnsiTheme="minorEastAsia" w:hint="eastAsia"/>
          <w:sz w:val="24"/>
          <w:szCs w:val="24"/>
        </w:rPr>
        <w:t>第六届中国国际进口博览会如约而至。六年来，</w:t>
      </w:r>
      <w:r w:rsidR="0060757B" w:rsidRPr="0060757B">
        <w:rPr>
          <w:rFonts w:asciiTheme="minorEastAsia" w:hAnsiTheme="minorEastAsia" w:hint="eastAsia"/>
          <w:sz w:val="24"/>
          <w:szCs w:val="24"/>
        </w:rPr>
        <w:t>进博会已成为中国构建新发展格局的窗口、推动高水平开放的平台、全球共享的国际公共产品。这六年，人们见证了进博会的“变”与“不变”。</w:t>
      </w:r>
    </w:p>
    <w:p w:rsidR="0060757B" w:rsidRPr="0060757B" w:rsidRDefault="00E67929"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热情不变，变的是不断扩大的“朋友圈”</w:t>
      </w:r>
      <w:r w:rsidR="00A61B29">
        <w:rPr>
          <w:rFonts w:asciiTheme="minorEastAsia" w:hAnsiTheme="minorEastAsia" w:hint="eastAsia"/>
          <w:sz w:val="24"/>
          <w:szCs w:val="24"/>
        </w:rPr>
        <w:t>。</w:t>
      </w:r>
      <w:r w:rsidR="0060757B" w:rsidRPr="0060757B">
        <w:rPr>
          <w:rFonts w:asciiTheme="minorEastAsia" w:hAnsiTheme="minorEastAsia" w:hint="eastAsia"/>
          <w:sz w:val="24"/>
          <w:szCs w:val="24"/>
        </w:rPr>
        <w:t>自</w:t>
      </w:r>
      <w:r w:rsidR="0060757B" w:rsidRPr="0060757B">
        <w:rPr>
          <w:rFonts w:asciiTheme="minorEastAsia" w:hAnsiTheme="minorEastAsia"/>
          <w:sz w:val="24"/>
          <w:szCs w:val="24"/>
        </w:rPr>
        <w:t>2018年首届进博会以来，稳步开放的中国市场和前景可期的中国经济，吸引越来越多全球客商参与进博会。六年间，迎来送往，“观展人”成“参展商”，“头回客”变“回头客”。</w:t>
      </w:r>
      <w:bookmarkStart w:id="0" w:name="_GoBack"/>
      <w:bookmarkEnd w:id="0"/>
      <w:r w:rsidR="0060757B" w:rsidRPr="0060757B">
        <w:rPr>
          <w:rFonts w:asciiTheme="minorEastAsia" w:hAnsiTheme="minorEastAsia" w:hint="eastAsia"/>
          <w:sz w:val="24"/>
          <w:szCs w:val="24"/>
        </w:rPr>
        <w:t>作为本届进博会主宾国之一，洪都拉斯是今年刚刚“入群”的新伙伴。来自洪都拉斯的</w:t>
      </w:r>
      <w:r w:rsidR="0060757B" w:rsidRPr="0060757B">
        <w:rPr>
          <w:rFonts w:asciiTheme="minorEastAsia" w:hAnsiTheme="minorEastAsia"/>
          <w:sz w:val="24"/>
          <w:szCs w:val="24"/>
        </w:rPr>
        <w:t>40多家企业组团来华，对首次参展充满期待。洪都拉斯总统府事务部部长（即内阁首席部长）鲁道夫·帕斯托尔说：“希望借助进博会这一桥梁，将洪都拉斯作为商业、旅游目的地以及进出口目的地向各方推介，并让人们了解我们的文化。”</w:t>
      </w:r>
    </w:p>
    <w:p w:rsidR="0060757B" w:rsidRPr="0060757B" w:rsidRDefault="00E67929"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初心不变，变的是不断扩展的功能</w:t>
      </w:r>
      <w:r>
        <w:rPr>
          <w:rFonts w:asciiTheme="minorEastAsia" w:hAnsiTheme="minorEastAsia" w:hint="eastAsia"/>
          <w:sz w:val="24"/>
          <w:szCs w:val="24"/>
        </w:rPr>
        <w:t>。</w:t>
      </w:r>
      <w:r w:rsidR="0060757B" w:rsidRPr="0060757B">
        <w:rPr>
          <w:rFonts w:asciiTheme="minorEastAsia" w:hAnsiTheme="minorEastAsia" w:hint="eastAsia"/>
          <w:sz w:val="24"/>
          <w:szCs w:val="24"/>
        </w:rPr>
        <w:t>作为中国构建新发展格局的窗口、推动高水平开放的平台、全球共享的国际公共产品，进博会始终坚守初心，推动各方实现共同繁荣进步。一路走来，进博会承担的功能不断扩展，已经成为跨国企业和国际组织的年度行业大聚会。本届进博会，世界</w:t>
      </w:r>
      <w:r w:rsidR="0060757B" w:rsidRPr="0060757B">
        <w:rPr>
          <w:rFonts w:asciiTheme="minorEastAsia" w:hAnsiTheme="minorEastAsia"/>
          <w:sz w:val="24"/>
          <w:szCs w:val="24"/>
        </w:rPr>
        <w:t>500强和行业龙头企业参展数量均创历史新高。配套现场活动涵盖政策解读、贸易对接、投资促进、研究发布等类别。联合国贸发会议、世界知识产权组织、国际劳工组织等知名国际组织参与主办分论坛。</w:t>
      </w:r>
      <w:r w:rsidR="0060757B" w:rsidRPr="0060757B">
        <w:rPr>
          <w:rFonts w:asciiTheme="minorEastAsia" w:hAnsiTheme="minorEastAsia" w:hint="eastAsia"/>
          <w:sz w:val="24"/>
          <w:szCs w:val="24"/>
        </w:rPr>
        <w:t>雀巢大中华大区董事长兼首席执行官张西强说，在进博会提供的平台上，参展商能够与各采购团、政府、行业、媒体全方位交流沟通，也可以推动高级别、专业化对话，从而探索发展新思路、新机遇。</w:t>
      </w:r>
    </w:p>
    <w:p w:rsidR="0060757B" w:rsidRPr="0060757B" w:rsidRDefault="00E67929"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好物不变，变的是对贸易促进的探索</w:t>
      </w:r>
      <w:r>
        <w:rPr>
          <w:rFonts w:asciiTheme="minorEastAsia" w:hAnsiTheme="minorEastAsia" w:hint="eastAsia"/>
          <w:sz w:val="24"/>
          <w:szCs w:val="24"/>
        </w:rPr>
        <w:t>。</w:t>
      </w:r>
      <w:r w:rsidR="0060757B" w:rsidRPr="0060757B">
        <w:rPr>
          <w:rFonts w:asciiTheme="minorEastAsia" w:hAnsiTheme="minorEastAsia"/>
          <w:sz w:val="24"/>
          <w:szCs w:val="24"/>
        </w:rPr>
        <w:t>10月初，装载着进博会展品，今年第一列“中欧班列－进博号”从德国杜伊斯堡抵达上海。据中欧班列平台企业上海东方丝路多式联运有限公司介绍，今年“中欧班列－进博号”计划组织开行3列，将进博会展品运送到上海。</w:t>
      </w:r>
      <w:r w:rsidR="0060757B" w:rsidRPr="0060757B">
        <w:rPr>
          <w:rFonts w:asciiTheme="minorEastAsia" w:hAnsiTheme="minorEastAsia" w:hint="eastAsia"/>
          <w:sz w:val="24"/>
          <w:szCs w:val="24"/>
        </w:rPr>
        <w:t>中欧班列是共建“一带一路”的标志性品牌。借助进博会，“一带一路”更好对接中国加快建设强大国内市场的巨大红利，以中国新开放为世界提供新机遇，带动“一带一路”共建国家贸易规模持续扩大，成为畅通中欧贸易的“稳定器”和“加速阀”。俄罗斯亚洲实业家理事会主席马克西姆·库兹涅佐夫认为，进博会能够有效推动高质量共建“一带一路”。“对外贸易交往如同全球经济体内流动的血液，而进博会这样的大型活动加快了这一血液的流动速度，进而促进全球经济健康发展。”</w:t>
      </w:r>
    </w:p>
    <w:p w:rsidR="0060757B" w:rsidRPr="0060757B" w:rsidRDefault="004859DB"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地点不变，变的是越来越宽广的辐射领域</w:t>
      </w:r>
      <w:r w:rsidR="00E67929">
        <w:rPr>
          <w:rFonts w:asciiTheme="minorEastAsia" w:hAnsiTheme="minorEastAsia" w:hint="eastAsia"/>
          <w:sz w:val="24"/>
          <w:szCs w:val="24"/>
        </w:rPr>
        <w:t>。</w:t>
      </w:r>
      <w:r w:rsidR="0060757B" w:rsidRPr="0060757B">
        <w:rPr>
          <w:rFonts w:asciiTheme="minorEastAsia" w:hAnsiTheme="minorEastAsia" w:hint="eastAsia"/>
          <w:sz w:val="24"/>
          <w:szCs w:val="24"/>
        </w:rPr>
        <w:t>进博会立足于“四叶草”，但影响力早已超越上海。作为全球共享的国际公共产品，进博会也为最不发达国家提供越来越多的机遇，与最不发达国家分享发展红利。在今年国家展中，</w:t>
      </w:r>
      <w:r w:rsidR="0060757B" w:rsidRPr="0060757B">
        <w:rPr>
          <w:rFonts w:asciiTheme="minorEastAsia" w:hAnsiTheme="minorEastAsia"/>
          <w:sz w:val="24"/>
          <w:szCs w:val="24"/>
        </w:rPr>
        <w:t>69个国家里面有16个是最不发达国家。来自最不发达地区的各色农副产品、手工艺品悉数登场。进博会还通过给最不发达国家提供部分免费展位、补贴和展品留购税收优惠政策等方式，推动当地特色产品进入中国市场。</w:t>
      </w:r>
      <w:r w:rsidR="0060757B" w:rsidRPr="0060757B">
        <w:rPr>
          <w:rFonts w:asciiTheme="minorEastAsia" w:hAnsiTheme="minorEastAsia" w:hint="eastAsia"/>
          <w:sz w:val="24"/>
          <w:szCs w:val="24"/>
        </w:rPr>
        <w:t>联合国和世界贸易组织的合设机构国际贸易中心执行董事帕梅拉·科克</w:t>
      </w:r>
      <w:r w:rsidR="0060757B" w:rsidRPr="0060757B">
        <w:rPr>
          <w:rFonts w:asciiTheme="minorEastAsia" w:hAnsiTheme="minorEastAsia"/>
          <w:sz w:val="24"/>
          <w:szCs w:val="24"/>
        </w:rPr>
        <w:t>-汉密尔顿认为，进博会在帮助最不发达国家企业进入中国市场方面发挥了很大作用。她表示，实现联合国可持续发展目标最重要的途径之一是推动最不发达国家出口持续增长，从而促进其经济社会发展。“进博会实际上是该解决方案的一部分。”</w:t>
      </w:r>
    </w:p>
    <w:p w:rsidR="0060757B" w:rsidRPr="0060757B" w:rsidRDefault="004859DB"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动能不变，变的是日益优化的展会配置</w:t>
      </w:r>
      <w:r w:rsidR="00E67929">
        <w:rPr>
          <w:rFonts w:asciiTheme="minorEastAsia" w:hAnsiTheme="minorEastAsia" w:hint="eastAsia"/>
          <w:sz w:val="24"/>
          <w:szCs w:val="24"/>
        </w:rPr>
        <w:t>。</w:t>
      </w:r>
      <w:r w:rsidR="0060757B" w:rsidRPr="0060757B">
        <w:rPr>
          <w:rFonts w:asciiTheme="minorEastAsia" w:hAnsiTheme="minorEastAsia" w:hint="eastAsia"/>
          <w:sz w:val="24"/>
          <w:szCs w:val="24"/>
        </w:rPr>
        <w:t>六年来，进博会持续发挥“窗口”作用，充分释放中国高质量发展动能；同时，因时制宜优化展区配置，展览质效不断提升。从创新孵化专区、集成电路专区，到能源低碳、人工智能等科技前沿类展览专区，展区配置的更新迭代充分反映全球产业发展的新变化新风向，也为中国高质量发展和重点产业成长提供便利。值得一提的是，今年是中国首个自贸试验区——中国（上海）自由贸易试验区建设十周年，进博会设立“自贸试验区建设十周年成就展”，全面展示自贸试验区的探索实践和建设成就，与世界共享发展经验。“进博会是目前全球独一无二的展会。”阿根廷亚太商会首席执行官马丁·洛·科科感慨道，世界上几乎每个国家都会举办国际性展会来推介和销售本国的产品，而“中国每年都在用心举办一个让全球供货商卖产品的展会”。</w:t>
      </w:r>
    </w:p>
    <w:p w:rsidR="0060757B" w:rsidRPr="0060757B" w:rsidRDefault="004859DB" w:rsidP="0060757B">
      <w:pPr>
        <w:rPr>
          <w:rFonts w:asciiTheme="minorEastAsia" w:hAnsiTheme="minorEastAsia"/>
          <w:sz w:val="24"/>
          <w:szCs w:val="24"/>
        </w:rPr>
      </w:pPr>
      <w:r w:rsidRPr="0060757B">
        <w:rPr>
          <w:rFonts w:asciiTheme="minorEastAsia" w:hAnsiTheme="minorEastAsia" w:hint="eastAsia"/>
          <w:sz w:val="24"/>
          <w:szCs w:val="24"/>
        </w:rPr>
        <w:t>第六届</w:t>
      </w:r>
      <w:r w:rsidRPr="00A61B29">
        <w:rPr>
          <w:rFonts w:asciiTheme="minorEastAsia" w:hAnsiTheme="minorEastAsia" w:hint="eastAsia"/>
          <w:sz w:val="24"/>
          <w:szCs w:val="24"/>
        </w:rPr>
        <w:t>进博会</w:t>
      </w:r>
      <w:r>
        <w:rPr>
          <w:rFonts w:asciiTheme="minorEastAsia" w:hAnsiTheme="minorEastAsia" w:hint="eastAsia"/>
          <w:sz w:val="24"/>
          <w:szCs w:val="24"/>
        </w:rPr>
        <w:t>，</w:t>
      </w:r>
      <w:r w:rsidR="0060757B" w:rsidRPr="0060757B">
        <w:rPr>
          <w:rFonts w:asciiTheme="minorEastAsia" w:hAnsiTheme="minorEastAsia" w:hint="eastAsia"/>
          <w:sz w:val="24"/>
          <w:szCs w:val="24"/>
        </w:rPr>
        <w:t>策略不变，变的是不断探索的技术创新</w:t>
      </w:r>
      <w:r w:rsidR="00E67929">
        <w:rPr>
          <w:rFonts w:asciiTheme="minorEastAsia" w:hAnsiTheme="minorEastAsia" w:hint="eastAsia"/>
          <w:sz w:val="24"/>
          <w:szCs w:val="24"/>
        </w:rPr>
        <w:t>。</w:t>
      </w:r>
      <w:r w:rsidR="0060757B" w:rsidRPr="0060757B">
        <w:rPr>
          <w:rFonts w:asciiTheme="minorEastAsia" w:hAnsiTheme="minorEastAsia" w:hint="eastAsia"/>
          <w:sz w:val="24"/>
          <w:szCs w:val="24"/>
        </w:rPr>
        <w:t>全球首发、亚洲首秀、中国首展……每届进博会上，各国参展商“十八般武艺”齐亮相，将自己最吸引人的产品带到现场。一批批全球顶尖产品不断涌现，助力进博会成为全球企业展示新产品、新理念、新技术、新服务的舞台。在第五届进博会上，全球矿业巨头力拓集团展示了来自全球不同产地的</w:t>
      </w:r>
      <w:r w:rsidR="0060757B" w:rsidRPr="0060757B">
        <w:rPr>
          <w:rFonts w:asciiTheme="minorEastAsia" w:hAnsiTheme="minorEastAsia"/>
          <w:sz w:val="24"/>
          <w:szCs w:val="24"/>
        </w:rPr>
        <w:t>14种金属矿物和绿色创新应用。今年，力拓集团将展示推进低碳转型和助力行业价值链脱碳的最新实践和应用。力拓集团首席商务官兼中国区主席白睿明说，进博会已成为一个重要平台，可以展示最新产品、创新和技术，并挖掘中国市场的巨大潜力。</w:t>
      </w:r>
      <w:r w:rsidR="0060757B" w:rsidRPr="0060757B">
        <w:rPr>
          <w:rFonts w:asciiTheme="minorEastAsia" w:hAnsiTheme="minorEastAsia" w:hint="eastAsia"/>
          <w:sz w:val="24"/>
          <w:szCs w:val="24"/>
        </w:rPr>
        <w:t>“进博会是展示新技术、新合作、新体验的重要平台。”美国高通公司中国区董事长孟樸对进博会引领创新发展的作用印象深刻。他说，参与进博会将推动高通与中国伙伴在无线通信等领域合作创新、互相成就，增强全球竞争力。</w:t>
      </w:r>
    </w:p>
    <w:p w:rsidR="00E67929" w:rsidRDefault="00E67929" w:rsidP="00E67929">
      <w:pPr>
        <w:rPr>
          <w:rFonts w:asciiTheme="minorEastAsia" w:hAnsiTheme="minorEastAsia"/>
          <w:sz w:val="24"/>
          <w:szCs w:val="24"/>
        </w:rPr>
      </w:pPr>
      <w:r>
        <w:rPr>
          <w:rFonts w:asciiTheme="minorEastAsia" w:hAnsiTheme="minorEastAsia" w:hint="eastAsia"/>
          <w:sz w:val="24"/>
          <w:szCs w:val="24"/>
        </w:rPr>
        <w:t>附表：</w:t>
      </w:r>
      <w:r w:rsidR="00446A80">
        <w:rPr>
          <w:rFonts w:asciiTheme="minorEastAsia" w:hAnsiTheme="minorEastAsia" w:hint="eastAsia"/>
          <w:sz w:val="24"/>
          <w:szCs w:val="24"/>
        </w:rPr>
        <w:t xml:space="preserve">  </w:t>
      </w:r>
      <w:r>
        <w:rPr>
          <w:rFonts w:asciiTheme="minorEastAsia" w:hAnsiTheme="minorEastAsia" w:hint="eastAsia"/>
          <w:sz w:val="24"/>
          <w:szCs w:val="24"/>
        </w:rPr>
        <w:t>统计数据</w:t>
      </w:r>
    </w:p>
    <w:p w:rsidR="00E67929" w:rsidRPr="003D2015" w:rsidRDefault="001F7953" w:rsidP="00E67929">
      <w:pPr>
        <w:tabs>
          <w:tab w:val="left" w:pos="6730"/>
        </w:tabs>
        <w:jc w:val="left"/>
        <w:rPr>
          <w:rFonts w:asciiTheme="minorEastAsia" w:hAnsiTheme="minorEastAsia"/>
          <w:sz w:val="24"/>
          <w:szCs w:val="24"/>
        </w:rPr>
      </w:pPr>
      <w:r>
        <w:rPr>
          <w:rFonts w:asciiTheme="minorEastAsia" w:hAnsiTheme="minorEastAsia" w:hint="eastAsia"/>
          <w:sz w:val="24"/>
          <w:szCs w:val="24"/>
        </w:rPr>
        <w:t>展览专区</w:t>
      </w:r>
      <w:r w:rsidR="00E67929" w:rsidRPr="003D2015">
        <w:rPr>
          <w:rFonts w:asciiTheme="minorEastAsia" w:hAnsiTheme="minorEastAsia"/>
          <w:sz w:val="24"/>
          <w:szCs w:val="24"/>
        </w:rPr>
        <w:tab/>
      </w:r>
      <w:r w:rsidR="00446A80">
        <w:rPr>
          <w:rFonts w:asciiTheme="minorEastAsia" w:hAnsiTheme="minorEastAsia" w:hint="eastAsia"/>
          <w:sz w:val="24"/>
          <w:szCs w:val="24"/>
        </w:rPr>
        <w:t>配置</w:t>
      </w:r>
      <w:r w:rsidR="00E67929" w:rsidRPr="003D2015">
        <w:rPr>
          <w:rFonts w:asciiTheme="minorEastAsia" w:hAnsiTheme="minorEastAsia" w:hint="eastAsia"/>
          <w:sz w:val="24"/>
          <w:szCs w:val="24"/>
        </w:rPr>
        <w:t>比例（百分比）</w:t>
      </w:r>
    </w:p>
    <w:p w:rsidR="00E67929" w:rsidRPr="003D2015" w:rsidRDefault="001F7953" w:rsidP="00E67929">
      <w:pPr>
        <w:tabs>
          <w:tab w:val="left" w:pos="6730"/>
        </w:tabs>
        <w:jc w:val="left"/>
        <w:rPr>
          <w:rFonts w:asciiTheme="minorEastAsia" w:hAnsiTheme="minorEastAsia"/>
          <w:sz w:val="24"/>
          <w:szCs w:val="24"/>
        </w:rPr>
      </w:pPr>
      <w:r w:rsidRPr="0060757B">
        <w:rPr>
          <w:rFonts w:asciiTheme="minorEastAsia" w:hAnsiTheme="minorEastAsia"/>
          <w:sz w:val="24"/>
          <w:szCs w:val="24"/>
        </w:rPr>
        <w:t>农副产品</w:t>
      </w:r>
      <w:r w:rsidRPr="0060757B">
        <w:rPr>
          <w:rFonts w:asciiTheme="minorEastAsia" w:hAnsiTheme="minorEastAsia" w:hint="eastAsia"/>
          <w:sz w:val="24"/>
          <w:szCs w:val="24"/>
        </w:rPr>
        <w:t>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21.86</w:t>
      </w:r>
    </w:p>
    <w:p w:rsidR="00E67929" w:rsidRPr="003D2015" w:rsidRDefault="001F7953" w:rsidP="00E67929">
      <w:pPr>
        <w:tabs>
          <w:tab w:val="left" w:pos="6730"/>
        </w:tabs>
        <w:jc w:val="left"/>
        <w:rPr>
          <w:rFonts w:asciiTheme="minorEastAsia" w:hAnsiTheme="minorEastAsia"/>
          <w:sz w:val="24"/>
          <w:szCs w:val="24"/>
        </w:rPr>
      </w:pPr>
      <w:r w:rsidRPr="0060757B">
        <w:rPr>
          <w:rFonts w:asciiTheme="minorEastAsia" w:hAnsiTheme="minorEastAsia"/>
          <w:sz w:val="24"/>
          <w:szCs w:val="24"/>
        </w:rPr>
        <w:t>手工艺品</w:t>
      </w:r>
      <w:r w:rsidRPr="0060757B">
        <w:rPr>
          <w:rFonts w:asciiTheme="minorEastAsia" w:hAnsiTheme="minorEastAsia" w:hint="eastAsia"/>
          <w:sz w:val="24"/>
          <w:szCs w:val="24"/>
        </w:rPr>
        <w:t>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33.33</w:t>
      </w:r>
    </w:p>
    <w:p w:rsidR="00E67929" w:rsidRPr="003D2015" w:rsidRDefault="001F7953" w:rsidP="00E67929">
      <w:pPr>
        <w:tabs>
          <w:tab w:val="left" w:pos="6730"/>
        </w:tabs>
        <w:jc w:val="left"/>
        <w:rPr>
          <w:rFonts w:asciiTheme="minorEastAsia" w:hAnsiTheme="minorEastAsia"/>
          <w:sz w:val="24"/>
          <w:szCs w:val="24"/>
        </w:rPr>
      </w:pPr>
      <w:r w:rsidRPr="0060757B">
        <w:rPr>
          <w:rFonts w:asciiTheme="minorEastAsia" w:hAnsiTheme="minorEastAsia" w:hint="eastAsia"/>
          <w:sz w:val="24"/>
          <w:szCs w:val="24"/>
        </w:rPr>
        <w:t>创新孵化专区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25.89</w:t>
      </w:r>
    </w:p>
    <w:p w:rsidR="00E67929" w:rsidRPr="003D2015" w:rsidRDefault="001F7953" w:rsidP="00E67929">
      <w:pPr>
        <w:tabs>
          <w:tab w:val="left" w:pos="6730"/>
        </w:tabs>
        <w:jc w:val="left"/>
        <w:rPr>
          <w:rFonts w:asciiTheme="minorEastAsia" w:hAnsiTheme="minorEastAsia"/>
          <w:sz w:val="24"/>
          <w:szCs w:val="24"/>
        </w:rPr>
      </w:pPr>
      <w:r w:rsidRPr="0060757B">
        <w:rPr>
          <w:rFonts w:asciiTheme="minorEastAsia" w:hAnsiTheme="minorEastAsia" w:hint="eastAsia"/>
          <w:sz w:val="24"/>
          <w:szCs w:val="24"/>
        </w:rPr>
        <w:t>集成电路专区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9.6</w:t>
      </w:r>
    </w:p>
    <w:p w:rsidR="00E67929" w:rsidRPr="003D2015" w:rsidRDefault="001F7953" w:rsidP="00E67929">
      <w:pPr>
        <w:tabs>
          <w:tab w:val="left" w:pos="6730"/>
        </w:tabs>
        <w:jc w:val="left"/>
        <w:rPr>
          <w:rFonts w:asciiTheme="minorEastAsia" w:hAnsiTheme="minorEastAsia"/>
          <w:sz w:val="24"/>
          <w:szCs w:val="24"/>
        </w:rPr>
      </w:pPr>
      <w:r w:rsidRPr="0060757B">
        <w:rPr>
          <w:rFonts w:asciiTheme="minorEastAsia" w:hAnsiTheme="minorEastAsia" w:hint="eastAsia"/>
          <w:sz w:val="24"/>
          <w:szCs w:val="24"/>
        </w:rPr>
        <w:t>能源低碳专区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0.18</w:t>
      </w:r>
    </w:p>
    <w:p w:rsidR="00E67929" w:rsidRPr="00160843" w:rsidRDefault="001F7953" w:rsidP="00E67929">
      <w:pPr>
        <w:tabs>
          <w:tab w:val="left" w:pos="6730"/>
        </w:tabs>
        <w:jc w:val="left"/>
        <w:rPr>
          <w:rFonts w:asciiTheme="minorEastAsia" w:hAnsiTheme="minorEastAsia"/>
          <w:sz w:val="24"/>
          <w:szCs w:val="24"/>
        </w:rPr>
      </w:pPr>
      <w:r w:rsidRPr="0060757B">
        <w:rPr>
          <w:rFonts w:asciiTheme="minorEastAsia" w:hAnsiTheme="minorEastAsia" w:hint="eastAsia"/>
          <w:sz w:val="24"/>
          <w:szCs w:val="24"/>
        </w:rPr>
        <w:t>人工智能专区</w:t>
      </w:r>
      <w:r w:rsidR="00E67929" w:rsidRPr="003D2015">
        <w:rPr>
          <w:rFonts w:asciiTheme="minorEastAsia" w:hAnsiTheme="minorEastAsia"/>
          <w:sz w:val="24"/>
          <w:szCs w:val="24"/>
        </w:rPr>
        <w:tab/>
      </w:r>
      <w:r w:rsidR="00E67929" w:rsidRPr="003D2015">
        <w:rPr>
          <w:rFonts w:asciiTheme="minorEastAsia" w:hAnsiTheme="minorEastAsia" w:hint="eastAsia"/>
          <w:sz w:val="24"/>
          <w:szCs w:val="24"/>
        </w:rPr>
        <w:t>9.14</w:t>
      </w:r>
    </w:p>
    <w:sectPr w:rsidR="00E67929" w:rsidRPr="00160843" w:rsidSect="00C02DD8">
      <w:pgSz w:w="16839" w:h="23814" w:code="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C86" w:rsidRDefault="00D33C86" w:rsidP="007D01DF">
      <w:r>
        <w:separator/>
      </w:r>
    </w:p>
  </w:endnote>
  <w:endnote w:type="continuationSeparator" w:id="0">
    <w:p w:rsidR="00D33C86" w:rsidRDefault="00D33C86" w:rsidP="007D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华文行楷">
    <w:panose1 w:val="02010800040101010101"/>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C86" w:rsidRDefault="00D33C86" w:rsidP="007D01DF">
      <w:r>
        <w:separator/>
      </w:r>
    </w:p>
  </w:footnote>
  <w:footnote w:type="continuationSeparator" w:id="0">
    <w:p w:rsidR="00D33C86" w:rsidRDefault="00D33C86" w:rsidP="007D01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gutterAtTop/>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EDE"/>
    <w:rsid w:val="000119E0"/>
    <w:rsid w:val="000121AF"/>
    <w:rsid w:val="00017FCF"/>
    <w:rsid w:val="0003736B"/>
    <w:rsid w:val="000F2937"/>
    <w:rsid w:val="0010370A"/>
    <w:rsid w:val="00124824"/>
    <w:rsid w:val="001316D0"/>
    <w:rsid w:val="00160843"/>
    <w:rsid w:val="001A2BF1"/>
    <w:rsid w:val="001B7AD1"/>
    <w:rsid w:val="001F7953"/>
    <w:rsid w:val="002006E1"/>
    <w:rsid w:val="002D475D"/>
    <w:rsid w:val="003474D4"/>
    <w:rsid w:val="003579E9"/>
    <w:rsid w:val="00373E00"/>
    <w:rsid w:val="003B228E"/>
    <w:rsid w:val="003C0A07"/>
    <w:rsid w:val="003C6FBF"/>
    <w:rsid w:val="003D2015"/>
    <w:rsid w:val="003E0ED3"/>
    <w:rsid w:val="003E0EFC"/>
    <w:rsid w:val="004073D1"/>
    <w:rsid w:val="004253B2"/>
    <w:rsid w:val="00446A80"/>
    <w:rsid w:val="0045361B"/>
    <w:rsid w:val="00471FD1"/>
    <w:rsid w:val="004859DB"/>
    <w:rsid w:val="0049377D"/>
    <w:rsid w:val="004C04DC"/>
    <w:rsid w:val="004E6BAB"/>
    <w:rsid w:val="0051028C"/>
    <w:rsid w:val="00522637"/>
    <w:rsid w:val="00590572"/>
    <w:rsid w:val="005B1567"/>
    <w:rsid w:val="0060033B"/>
    <w:rsid w:val="00600E0C"/>
    <w:rsid w:val="0060757B"/>
    <w:rsid w:val="0062700E"/>
    <w:rsid w:val="00662939"/>
    <w:rsid w:val="006737CF"/>
    <w:rsid w:val="006D6FE7"/>
    <w:rsid w:val="006E3FAC"/>
    <w:rsid w:val="00764EDA"/>
    <w:rsid w:val="00773C2A"/>
    <w:rsid w:val="00780482"/>
    <w:rsid w:val="00782226"/>
    <w:rsid w:val="007D01DF"/>
    <w:rsid w:val="0080423D"/>
    <w:rsid w:val="00806FC4"/>
    <w:rsid w:val="00812A34"/>
    <w:rsid w:val="008559DE"/>
    <w:rsid w:val="00894CE6"/>
    <w:rsid w:val="00897F3B"/>
    <w:rsid w:val="008B15BD"/>
    <w:rsid w:val="008B790F"/>
    <w:rsid w:val="008C1DF4"/>
    <w:rsid w:val="009123CA"/>
    <w:rsid w:val="00914125"/>
    <w:rsid w:val="00973357"/>
    <w:rsid w:val="009A7522"/>
    <w:rsid w:val="009D3A66"/>
    <w:rsid w:val="009F07B7"/>
    <w:rsid w:val="00A00D20"/>
    <w:rsid w:val="00A12F36"/>
    <w:rsid w:val="00A6013F"/>
    <w:rsid w:val="00A61B29"/>
    <w:rsid w:val="00AD2039"/>
    <w:rsid w:val="00AE684F"/>
    <w:rsid w:val="00AF53C1"/>
    <w:rsid w:val="00B05A3E"/>
    <w:rsid w:val="00B37D00"/>
    <w:rsid w:val="00B5521B"/>
    <w:rsid w:val="00BC58DA"/>
    <w:rsid w:val="00BE078E"/>
    <w:rsid w:val="00C02DD8"/>
    <w:rsid w:val="00C07EDE"/>
    <w:rsid w:val="00C3259A"/>
    <w:rsid w:val="00C72A02"/>
    <w:rsid w:val="00C7736B"/>
    <w:rsid w:val="00C97E4A"/>
    <w:rsid w:val="00CB6807"/>
    <w:rsid w:val="00D33C86"/>
    <w:rsid w:val="00DB7CC2"/>
    <w:rsid w:val="00DC6641"/>
    <w:rsid w:val="00DD1FED"/>
    <w:rsid w:val="00DF20D6"/>
    <w:rsid w:val="00E03A3E"/>
    <w:rsid w:val="00E16105"/>
    <w:rsid w:val="00E67929"/>
    <w:rsid w:val="00E74504"/>
    <w:rsid w:val="00E921C5"/>
    <w:rsid w:val="00ED496C"/>
    <w:rsid w:val="00EE2B5D"/>
    <w:rsid w:val="00EF1502"/>
    <w:rsid w:val="00F140DC"/>
    <w:rsid w:val="00F2282B"/>
    <w:rsid w:val="00F62BA3"/>
    <w:rsid w:val="00F90CE4"/>
    <w:rsid w:val="00F9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7CAF84-3C5C-4A3E-B80A-6422C41B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07EDE"/>
    <w:pPr>
      <w:ind w:leftChars="2500" w:left="100"/>
    </w:pPr>
  </w:style>
  <w:style w:type="character" w:customStyle="1" w:styleId="a4">
    <w:name w:val="日期 字符"/>
    <w:basedOn w:val="a0"/>
    <w:link w:val="a3"/>
    <w:uiPriority w:val="99"/>
    <w:semiHidden/>
    <w:rsid w:val="00C07EDE"/>
  </w:style>
  <w:style w:type="paragraph" w:styleId="a5">
    <w:name w:val="header"/>
    <w:basedOn w:val="a"/>
    <w:link w:val="a6"/>
    <w:uiPriority w:val="99"/>
    <w:unhideWhenUsed/>
    <w:rsid w:val="007D01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D01DF"/>
    <w:rPr>
      <w:sz w:val="18"/>
      <w:szCs w:val="18"/>
    </w:rPr>
  </w:style>
  <w:style w:type="paragraph" w:styleId="a7">
    <w:name w:val="footer"/>
    <w:basedOn w:val="a"/>
    <w:link w:val="a8"/>
    <w:uiPriority w:val="99"/>
    <w:unhideWhenUsed/>
    <w:rsid w:val="007D01DF"/>
    <w:pPr>
      <w:tabs>
        <w:tab w:val="center" w:pos="4153"/>
        <w:tab w:val="right" w:pos="8306"/>
      </w:tabs>
      <w:snapToGrid w:val="0"/>
      <w:jc w:val="left"/>
    </w:pPr>
    <w:rPr>
      <w:sz w:val="18"/>
      <w:szCs w:val="18"/>
    </w:rPr>
  </w:style>
  <w:style w:type="character" w:customStyle="1" w:styleId="a8">
    <w:name w:val="页脚 字符"/>
    <w:basedOn w:val="a0"/>
    <w:link w:val="a7"/>
    <w:uiPriority w:val="99"/>
    <w:rsid w:val="007D01DF"/>
    <w:rPr>
      <w:sz w:val="18"/>
      <w:szCs w:val="18"/>
    </w:rPr>
  </w:style>
  <w:style w:type="paragraph" w:styleId="a9">
    <w:name w:val="Title"/>
    <w:basedOn w:val="a"/>
    <w:next w:val="a"/>
    <w:link w:val="aa"/>
    <w:uiPriority w:val="10"/>
    <w:qFormat/>
    <w:rsid w:val="004253B2"/>
    <w:pPr>
      <w:spacing w:before="240" w:after="60"/>
      <w:jc w:val="center"/>
      <w:outlineLvl w:val="0"/>
    </w:pPr>
    <w:rPr>
      <w:rFonts w:asciiTheme="majorHAnsi" w:eastAsia="华文行楷" w:hAnsiTheme="majorHAnsi" w:cstheme="majorBidi"/>
      <w:bCs/>
      <w:sz w:val="44"/>
      <w:szCs w:val="32"/>
    </w:rPr>
  </w:style>
  <w:style w:type="character" w:customStyle="1" w:styleId="aa">
    <w:name w:val="标题 字符"/>
    <w:basedOn w:val="a0"/>
    <w:link w:val="a9"/>
    <w:uiPriority w:val="10"/>
    <w:rsid w:val="004253B2"/>
    <w:rPr>
      <w:rFonts w:asciiTheme="majorHAnsi" w:eastAsia="华文行楷" w:hAnsiTheme="majorHAnsi" w:cstheme="majorBidi"/>
      <w:bCs/>
      <w:sz w:val="44"/>
      <w:szCs w:val="32"/>
    </w:rPr>
  </w:style>
  <w:style w:type="paragraph" w:styleId="ab">
    <w:name w:val="Subtitle"/>
    <w:basedOn w:val="a"/>
    <w:next w:val="a"/>
    <w:link w:val="ac"/>
    <w:uiPriority w:val="11"/>
    <w:qFormat/>
    <w:rsid w:val="00DB7CC2"/>
    <w:pPr>
      <w:spacing w:before="240" w:after="60" w:line="312" w:lineRule="auto"/>
      <w:jc w:val="right"/>
      <w:outlineLvl w:val="1"/>
    </w:pPr>
    <w:rPr>
      <w:rFonts w:asciiTheme="majorHAnsi" w:eastAsia="华文行楷" w:hAnsiTheme="majorHAnsi" w:cstheme="majorBidi"/>
      <w:b/>
      <w:bCs/>
      <w:kern w:val="28"/>
      <w:sz w:val="32"/>
      <w:szCs w:val="32"/>
    </w:rPr>
  </w:style>
  <w:style w:type="character" w:customStyle="1" w:styleId="ac">
    <w:name w:val="副标题 字符"/>
    <w:basedOn w:val="a0"/>
    <w:link w:val="ab"/>
    <w:uiPriority w:val="11"/>
    <w:rsid w:val="00DB7CC2"/>
    <w:rPr>
      <w:rFonts w:asciiTheme="majorHAnsi" w:eastAsia="华文行楷" w:hAnsiTheme="majorHAnsi" w:cstheme="majorBidi"/>
      <w:b/>
      <w:bCs/>
      <w:kern w:val="28"/>
      <w:sz w:val="32"/>
      <w:szCs w:val="32"/>
    </w:rPr>
  </w:style>
  <w:style w:type="table" w:styleId="ad">
    <w:name w:val="Table Grid"/>
    <w:basedOn w:val="a1"/>
    <w:uiPriority w:val="59"/>
    <w:rsid w:val="003D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Windows 用户</cp:lastModifiedBy>
  <cp:revision>3</cp:revision>
  <dcterms:created xsi:type="dcterms:W3CDTF">2024-05-07T07:46:00Z</dcterms:created>
  <dcterms:modified xsi:type="dcterms:W3CDTF">2024-05-12T03:25:00Z</dcterms:modified>
</cp:coreProperties>
</file>