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23D" w:rsidRDefault="00160843" w:rsidP="00160843">
      <w:pPr>
        <w:rPr>
          <w:rFonts w:asciiTheme="minorEastAsia" w:hAnsiTheme="minorEastAsia"/>
          <w:sz w:val="24"/>
          <w:szCs w:val="24"/>
        </w:rPr>
      </w:pPr>
      <w:bookmarkStart w:id="0" w:name="_GoBack"/>
      <w:bookmarkEnd w:id="0"/>
      <w:r w:rsidRPr="00160843">
        <w:rPr>
          <w:rFonts w:asciiTheme="minorEastAsia" w:hAnsiTheme="minorEastAsia" w:hint="eastAsia"/>
          <w:sz w:val="24"/>
          <w:szCs w:val="24"/>
        </w:rPr>
        <w:t>碳化硅产业化驶入快车道</w:t>
      </w:r>
    </w:p>
    <w:p w:rsidR="00160843" w:rsidRPr="00160843" w:rsidRDefault="00914125" w:rsidP="00160843">
      <w:pPr>
        <w:rPr>
          <w:rFonts w:asciiTheme="minorEastAsia" w:hAnsiTheme="minorEastAsia"/>
          <w:sz w:val="24"/>
          <w:szCs w:val="24"/>
        </w:rPr>
      </w:pPr>
      <w:r w:rsidRPr="00914125">
        <w:rPr>
          <w:rFonts w:asciiTheme="minorEastAsia" w:hAnsiTheme="minorEastAsia" w:hint="eastAsia"/>
          <w:sz w:val="24"/>
          <w:szCs w:val="24"/>
        </w:rPr>
        <w:t>上市</w:t>
      </w:r>
      <w:r w:rsidR="00160843" w:rsidRPr="00160843">
        <w:rPr>
          <w:rFonts w:asciiTheme="minorEastAsia" w:hAnsiTheme="minorEastAsia" w:hint="eastAsia"/>
          <w:sz w:val="24"/>
          <w:szCs w:val="24"/>
        </w:rPr>
        <w:t>公司纷纷“抢食”盛宴</w:t>
      </w:r>
    </w:p>
    <w:p w:rsidR="00160843" w:rsidRPr="00160843" w:rsidRDefault="0080423D" w:rsidP="00160843">
      <w:pPr>
        <w:rPr>
          <w:rFonts w:asciiTheme="minorEastAsia" w:hAnsiTheme="minorEastAsia"/>
          <w:sz w:val="24"/>
          <w:szCs w:val="24"/>
        </w:rPr>
      </w:pPr>
      <w:r w:rsidRPr="00160843">
        <w:rPr>
          <w:rFonts w:asciiTheme="minorEastAsia" w:hAnsiTheme="minorEastAsia" w:hint="eastAsia"/>
          <w:sz w:val="24"/>
          <w:szCs w:val="24"/>
        </w:rPr>
        <w:t>上海证券报2022年10月22日第005版</w:t>
      </w:r>
      <w:r>
        <w:rPr>
          <w:rFonts w:asciiTheme="minorEastAsia" w:hAnsiTheme="minorEastAsia" w:hint="eastAsia"/>
          <w:sz w:val="24"/>
          <w:szCs w:val="24"/>
        </w:rPr>
        <w:t xml:space="preserve">讯 </w:t>
      </w:r>
      <w:r w:rsidR="00160843" w:rsidRPr="00160843">
        <w:rPr>
          <w:rFonts w:asciiTheme="minorEastAsia" w:hAnsiTheme="minorEastAsia" w:hint="eastAsia"/>
          <w:sz w:val="24"/>
          <w:szCs w:val="24"/>
        </w:rPr>
        <w:t>近日，士兰微拟大手笔投资扩产碳化硅（SiC）功率器件生产线、汽车半导体封装项目（一期），成为碳化硅产业链公司扩产的最新案例。上海证券报记者梳理发现，近期，碳化硅产业链上衬底片、外延片、芯片及器件各环节的国内外公司纷纷加入扩产队伍，行业景气度由此可见一斑。记者采访了解到，碳化硅扩产背后的逻辑是，新能源汽车、电力电子、光伏等市场需求驱动产业规模快速增长，头部公司扩大规模抢抓发展机遇。</w:t>
      </w:r>
    </w:p>
    <w:p w:rsidR="00160843" w:rsidRPr="00160843" w:rsidRDefault="00F93200" w:rsidP="00160843">
      <w:pPr>
        <w:rPr>
          <w:rFonts w:asciiTheme="minorEastAsia" w:hAnsiTheme="minorEastAsia"/>
          <w:sz w:val="24"/>
          <w:szCs w:val="24"/>
        </w:rPr>
      </w:pPr>
      <w:r w:rsidRPr="003D2015">
        <w:rPr>
          <w:rFonts w:asciiTheme="minorEastAsia" w:hAnsiTheme="minorEastAsia" w:hint="eastAsia"/>
          <w:sz w:val="24"/>
          <w:szCs w:val="24"/>
        </w:rPr>
        <w:t>记者注意到，</w:t>
      </w:r>
      <w:r w:rsidRPr="00160843">
        <w:rPr>
          <w:rFonts w:asciiTheme="minorEastAsia" w:hAnsiTheme="minorEastAsia" w:hint="eastAsia"/>
          <w:sz w:val="24"/>
          <w:szCs w:val="24"/>
        </w:rPr>
        <w:t>某本土半导体量测设备初创公司负责人告诉记者，</w:t>
      </w:r>
      <w:r w:rsidR="00160843" w:rsidRPr="00160843">
        <w:rPr>
          <w:rFonts w:asciiTheme="minorEastAsia" w:hAnsiTheme="minorEastAsia" w:hint="eastAsia"/>
          <w:sz w:val="24"/>
          <w:szCs w:val="24"/>
        </w:rPr>
        <w:t>“近期主动找我们购买碳化硅衬底片检测和测量设备、外延片外延膜厚测量设备的客户很多。”近日，该公司的FTIR（傅里叶变换红外光谱自动化系统）设备恰好赶上了碳化硅需求爆发。谈及碳化硅市场需求，闻泰科技企划部部长在接受记者采访时表示，当前碳化硅景气度持续提升，近期呈现供不应求态势，主因是新能源汽车市场快速增长，电动汽车动力系统、车载电池充电装置和充电基础设施均对高压功率器件有较大需求，尤其是800V高压快充正在加速拉动碳化硅器件需求增长。此外，光伏市场对碳化硅器件也有很大需求。</w:t>
      </w:r>
    </w:p>
    <w:p w:rsidR="00160843" w:rsidRPr="00160843" w:rsidRDefault="00F93200" w:rsidP="00160843">
      <w:pPr>
        <w:rPr>
          <w:rFonts w:asciiTheme="minorEastAsia" w:hAnsiTheme="minorEastAsia"/>
          <w:sz w:val="24"/>
          <w:szCs w:val="24"/>
        </w:rPr>
      </w:pPr>
      <w:r w:rsidRPr="003D2015">
        <w:rPr>
          <w:rFonts w:asciiTheme="minorEastAsia" w:hAnsiTheme="minorEastAsia" w:hint="eastAsia"/>
          <w:sz w:val="24"/>
          <w:szCs w:val="24"/>
        </w:rPr>
        <w:t>记者注意到，</w:t>
      </w:r>
      <w:r w:rsidR="00160843" w:rsidRPr="00160843">
        <w:rPr>
          <w:rFonts w:asciiTheme="minorEastAsia" w:hAnsiTheme="minorEastAsia" w:hint="eastAsia"/>
          <w:sz w:val="24"/>
          <w:szCs w:val="24"/>
        </w:rPr>
        <w:t>在需求驱动下，近期碳化硅产业链上衬底片、外延片、芯片及器件各环节的国内外公司纷纷披露了扩产计划。例如，士兰微近日披露，公司拟定增募集资金不超过65亿元，其中7.5亿元用于SiC功率器件生产线建设项目，该项目在现有芯片生产线及配套设施的基础上提升SiC功率器件芯片的产能，用于生产SiC</w:t>
      </w:r>
      <w:r w:rsidR="00A12F36">
        <w:rPr>
          <w:rFonts w:asciiTheme="minorEastAsia" w:hAnsiTheme="minorEastAsia" w:hint="eastAsia"/>
          <w:sz w:val="24"/>
          <w:szCs w:val="24"/>
        </w:rPr>
        <w:t xml:space="preserve"> </w:t>
      </w:r>
      <w:r w:rsidR="00160843" w:rsidRPr="00160843">
        <w:rPr>
          <w:rFonts w:asciiTheme="minorEastAsia" w:hAnsiTheme="minorEastAsia" w:hint="eastAsia"/>
          <w:sz w:val="24"/>
          <w:szCs w:val="24"/>
        </w:rPr>
        <w:t>MOSFET、SiC</w:t>
      </w:r>
      <w:r w:rsidR="00A12F36">
        <w:rPr>
          <w:rFonts w:asciiTheme="minorEastAsia" w:hAnsiTheme="minorEastAsia" w:hint="eastAsia"/>
          <w:sz w:val="24"/>
          <w:szCs w:val="24"/>
        </w:rPr>
        <w:t xml:space="preserve"> </w:t>
      </w:r>
      <w:r w:rsidR="00160843" w:rsidRPr="00160843">
        <w:rPr>
          <w:rFonts w:asciiTheme="minorEastAsia" w:hAnsiTheme="minorEastAsia" w:hint="eastAsia"/>
          <w:sz w:val="24"/>
          <w:szCs w:val="24"/>
        </w:rPr>
        <w:t>SBD芯片产品；项目达产后，将新增SiC</w:t>
      </w:r>
      <w:r w:rsidR="00A12F36">
        <w:rPr>
          <w:rFonts w:asciiTheme="minorEastAsia" w:hAnsiTheme="minorEastAsia" w:hint="eastAsia"/>
          <w:sz w:val="24"/>
          <w:szCs w:val="24"/>
        </w:rPr>
        <w:t xml:space="preserve"> </w:t>
      </w:r>
      <w:r w:rsidR="00160843" w:rsidRPr="00160843">
        <w:rPr>
          <w:rFonts w:asciiTheme="minorEastAsia" w:hAnsiTheme="minorEastAsia" w:hint="eastAsia"/>
          <w:sz w:val="24"/>
          <w:szCs w:val="24"/>
        </w:rPr>
        <w:t>MOSFET芯片12万片/年、SiCSBD芯片2.4万片/年的生产能力。积极扩充碳化硅功率器件产能的还有时代电气、斯达半导、新洁能等。时代电气在近期接受机构调研时表示，公司已投资4.6亿元对原有碳化硅产线进行产能提升，公司碳化硅产品在新能源车的验证已取得重大进展。在更上游的碳化硅衬底片、外延片领域，国内外厂商也在积极扩产。</w:t>
      </w:r>
    </w:p>
    <w:p w:rsidR="00160843" w:rsidRPr="00160843" w:rsidRDefault="00F93200" w:rsidP="00160843">
      <w:pPr>
        <w:rPr>
          <w:rFonts w:asciiTheme="minorEastAsia" w:hAnsiTheme="minorEastAsia"/>
          <w:sz w:val="24"/>
          <w:szCs w:val="24"/>
        </w:rPr>
      </w:pPr>
      <w:r w:rsidRPr="003D2015">
        <w:rPr>
          <w:rFonts w:asciiTheme="minorEastAsia" w:hAnsiTheme="minorEastAsia" w:hint="eastAsia"/>
          <w:sz w:val="24"/>
          <w:szCs w:val="24"/>
        </w:rPr>
        <w:t>记者注意到，</w:t>
      </w:r>
      <w:r w:rsidR="00160843" w:rsidRPr="00160843">
        <w:rPr>
          <w:rFonts w:asciiTheme="minorEastAsia" w:hAnsiTheme="minorEastAsia" w:hint="eastAsia"/>
          <w:sz w:val="24"/>
          <w:szCs w:val="24"/>
        </w:rPr>
        <w:t>伴随产业化发展提速，一批碳化硅产业链头部公司迅速崛起，踊跃向资本市场发起冲刺。天岳先进作为先行者，已于今年初率先登陆科创板；晶升装备、燕东微的IPO已获得科创板上市委审议通过；天科合达已于去年11月重启辅导备案，再度冲刺科创板；河北同光半导体股份有限公司（简称“同光股份”）已进入辅导备案。值得一提的是，在碳化硅单晶炉业务上，晶升装备的产品应用于国内碳化硅衬底材料制造，主要客户包括三安光电、东尼电子及浙江晶越。</w:t>
      </w:r>
    </w:p>
    <w:p w:rsidR="00160843" w:rsidRPr="00160843" w:rsidRDefault="00F93200" w:rsidP="00160843">
      <w:pPr>
        <w:rPr>
          <w:rFonts w:asciiTheme="minorEastAsia" w:hAnsiTheme="minorEastAsia"/>
          <w:sz w:val="24"/>
          <w:szCs w:val="24"/>
        </w:rPr>
      </w:pPr>
      <w:r w:rsidRPr="003D2015">
        <w:rPr>
          <w:rFonts w:asciiTheme="minorEastAsia" w:hAnsiTheme="minorEastAsia" w:hint="eastAsia"/>
          <w:sz w:val="24"/>
          <w:szCs w:val="24"/>
        </w:rPr>
        <w:t>记者注意到，</w:t>
      </w:r>
      <w:r w:rsidR="00160843" w:rsidRPr="00160843">
        <w:rPr>
          <w:rFonts w:asciiTheme="minorEastAsia" w:hAnsiTheme="minorEastAsia" w:hint="eastAsia"/>
          <w:sz w:val="24"/>
          <w:szCs w:val="24"/>
        </w:rPr>
        <w:t>此外，近期终止IPO的恒普科技，主要从事金属注射成型（MIM）脱脂烧结炉、碳化硅晶体生长炉、碳化硅同质外延设备等热工装备的研发、生产和销售。公司已于2021年实现了碳化硅晶体生长炉的规模化销售，目前正在研发8英寸碳化硅晶体生长炉。另值得关注的是，化合物半导体需求持续增长，吸引国内外厂商争相布局。A股公司自然不会缺席，除了加码产能，更多上市公司选择投资初创公司。上述冲刺IPO</w:t>
      </w:r>
      <w:r w:rsidR="003D2015">
        <w:rPr>
          <w:rFonts w:asciiTheme="minorEastAsia" w:hAnsiTheme="minorEastAsia" w:hint="eastAsia"/>
          <w:sz w:val="24"/>
          <w:szCs w:val="24"/>
        </w:rPr>
        <w:t>的公司背后，就隐藏了不少上市公司的身影。</w:t>
      </w:r>
    </w:p>
    <w:p w:rsidR="003D2015" w:rsidRDefault="00F93200" w:rsidP="00160843">
      <w:pPr>
        <w:rPr>
          <w:rFonts w:asciiTheme="minorEastAsia" w:hAnsiTheme="minorEastAsia"/>
          <w:sz w:val="24"/>
          <w:szCs w:val="24"/>
        </w:rPr>
      </w:pPr>
      <w:r w:rsidRPr="003D2015">
        <w:rPr>
          <w:rFonts w:asciiTheme="minorEastAsia" w:hAnsiTheme="minorEastAsia" w:hint="eastAsia"/>
          <w:sz w:val="24"/>
          <w:szCs w:val="24"/>
        </w:rPr>
        <w:t>记者注意到，</w:t>
      </w:r>
      <w:r w:rsidR="00160843" w:rsidRPr="00160843">
        <w:rPr>
          <w:rFonts w:asciiTheme="minorEastAsia" w:hAnsiTheme="minorEastAsia" w:hint="eastAsia"/>
          <w:sz w:val="24"/>
          <w:szCs w:val="24"/>
        </w:rPr>
        <w:t>很多上市公司已经通过投资切入碳化硅领域。民德电子披露，公司在SiC功率器件方面布局涉及SiC外延片、晶圆加工、超薄片背道代工、功率半导体设计等。目前，公司参股25.89%的晶睿电子已在着手准备SiC外延片的生产工作；参股40.38%的广芯微电子从海外采购的SiC功率器件生产设备陆续运抵丽水仓库，计划明年实现SiC功率器件产品的量产；参股33.33%的芯微泰克明年投产后也将开展SiC器件背道减薄代工业务，目前已有多家意向储备客户。立霸股份在半年报中透露，公司参与投资了嘉兴君锋。</w:t>
      </w:r>
    </w:p>
    <w:p w:rsidR="00160843" w:rsidRDefault="00F93200" w:rsidP="00160843">
      <w:pPr>
        <w:rPr>
          <w:rFonts w:asciiTheme="minorEastAsia" w:hAnsiTheme="minorEastAsia"/>
          <w:sz w:val="24"/>
          <w:szCs w:val="24"/>
        </w:rPr>
      </w:pPr>
      <w:r w:rsidRPr="003D2015">
        <w:rPr>
          <w:rFonts w:asciiTheme="minorEastAsia" w:hAnsiTheme="minorEastAsia" w:hint="eastAsia"/>
          <w:sz w:val="24"/>
          <w:szCs w:val="24"/>
        </w:rPr>
        <w:t>记者注意到，</w:t>
      </w:r>
      <w:r w:rsidR="00160843" w:rsidRPr="00160843">
        <w:rPr>
          <w:rFonts w:asciiTheme="minorEastAsia" w:hAnsiTheme="minorEastAsia" w:hint="eastAsia"/>
          <w:sz w:val="24"/>
          <w:szCs w:val="24"/>
        </w:rPr>
        <w:t>新能源公司也青睐碳化硅。东莞天域6月13日发生工商变更，新增股东比亚迪、上海尚颀颀盈商务咨询合伙企业（有限合伙）等。6月27日，东莞天域再度进行了出资额和股东变更，新增股东之一为宜宾晨道新能源产业股权投资合伙企业（有限合伙），后者的股东之一问鼎投资是宁德时代的全资子公司。此外，宁德时代还投资了天科合达的子公司深圳市重投天科半导体有限公司。记者还注意到，广汽集团旗下广汽资本、蓝海华腾、闻泰科技均投资了碳化硅功率器件公司基本半导体有限公司；汇川技术则投资了同光股份。</w:t>
      </w:r>
    </w:p>
    <w:p w:rsidR="00B5521B" w:rsidRDefault="00B5521B" w:rsidP="00B5521B">
      <w:pPr>
        <w:rPr>
          <w:rFonts w:asciiTheme="minorEastAsia" w:hAnsiTheme="minorEastAsia"/>
          <w:sz w:val="24"/>
          <w:szCs w:val="24"/>
        </w:rPr>
      </w:pPr>
      <w:r>
        <w:rPr>
          <w:rFonts w:asciiTheme="minorEastAsia" w:hAnsiTheme="minorEastAsia" w:hint="eastAsia"/>
          <w:sz w:val="24"/>
          <w:szCs w:val="24"/>
        </w:rPr>
        <w:t>附表：  统计数据</w:t>
      </w:r>
    </w:p>
    <w:p w:rsidR="00F90CE4" w:rsidRPr="003D2015" w:rsidRDefault="00F90CE4" w:rsidP="00840EC1">
      <w:pPr>
        <w:tabs>
          <w:tab w:val="left" w:pos="6730"/>
        </w:tabs>
        <w:jc w:val="left"/>
        <w:rPr>
          <w:rFonts w:asciiTheme="minorEastAsia" w:hAnsiTheme="minorEastAsia"/>
          <w:sz w:val="24"/>
          <w:szCs w:val="24"/>
        </w:rPr>
      </w:pPr>
      <w:r w:rsidRPr="003D2015">
        <w:rPr>
          <w:rFonts w:asciiTheme="minorEastAsia" w:hAnsiTheme="minorEastAsia" w:hint="eastAsia"/>
          <w:sz w:val="24"/>
          <w:szCs w:val="24"/>
        </w:rPr>
        <w:t>控股</w:t>
      </w:r>
      <w:r w:rsidR="00806FC4">
        <w:rPr>
          <w:rFonts w:asciiTheme="minorEastAsia" w:hAnsiTheme="minorEastAsia" w:hint="eastAsia"/>
          <w:sz w:val="24"/>
          <w:szCs w:val="24"/>
        </w:rPr>
        <w:t>机构</w:t>
      </w:r>
      <w:r w:rsidRPr="003D2015">
        <w:rPr>
          <w:rFonts w:asciiTheme="minorEastAsia" w:hAnsiTheme="minorEastAsia"/>
          <w:sz w:val="24"/>
          <w:szCs w:val="24"/>
        </w:rPr>
        <w:tab/>
      </w:r>
      <w:r w:rsidRPr="003D2015">
        <w:rPr>
          <w:rFonts w:asciiTheme="minorEastAsia" w:hAnsiTheme="minorEastAsia" w:hint="eastAsia"/>
          <w:sz w:val="24"/>
          <w:szCs w:val="24"/>
        </w:rPr>
        <w:t>控股比例（百分比）</w:t>
      </w:r>
    </w:p>
    <w:p w:rsidR="00F90CE4" w:rsidRPr="003D2015" w:rsidRDefault="00F90CE4" w:rsidP="00840EC1">
      <w:pPr>
        <w:tabs>
          <w:tab w:val="left" w:pos="6730"/>
        </w:tabs>
        <w:jc w:val="left"/>
        <w:rPr>
          <w:rFonts w:asciiTheme="minorEastAsia" w:hAnsiTheme="minorEastAsia"/>
          <w:sz w:val="24"/>
          <w:szCs w:val="24"/>
        </w:rPr>
      </w:pPr>
      <w:r w:rsidRPr="003D2015">
        <w:rPr>
          <w:rFonts w:asciiTheme="minorEastAsia" w:hAnsiTheme="minorEastAsia" w:hint="eastAsia"/>
          <w:sz w:val="24"/>
          <w:szCs w:val="24"/>
        </w:rPr>
        <w:t>天富控股</w:t>
      </w:r>
      <w:r w:rsidRPr="003D2015">
        <w:rPr>
          <w:rFonts w:asciiTheme="minorEastAsia" w:hAnsiTheme="minorEastAsia"/>
          <w:sz w:val="24"/>
          <w:szCs w:val="24"/>
        </w:rPr>
        <w:tab/>
      </w:r>
      <w:r w:rsidRPr="003D2015">
        <w:rPr>
          <w:rFonts w:asciiTheme="minorEastAsia" w:hAnsiTheme="minorEastAsia" w:hint="eastAsia"/>
          <w:sz w:val="24"/>
          <w:szCs w:val="24"/>
        </w:rPr>
        <w:t>21.86</w:t>
      </w:r>
    </w:p>
    <w:p w:rsidR="00F90CE4" w:rsidRPr="003D2015" w:rsidRDefault="00F90CE4" w:rsidP="00840EC1">
      <w:pPr>
        <w:tabs>
          <w:tab w:val="left" w:pos="6730"/>
        </w:tabs>
        <w:jc w:val="left"/>
        <w:rPr>
          <w:rFonts w:asciiTheme="minorEastAsia" w:hAnsiTheme="minorEastAsia"/>
          <w:sz w:val="24"/>
          <w:szCs w:val="24"/>
        </w:rPr>
      </w:pPr>
      <w:r w:rsidRPr="003D2015">
        <w:rPr>
          <w:rFonts w:asciiTheme="minorEastAsia" w:hAnsiTheme="minorEastAsia" w:hint="eastAsia"/>
          <w:sz w:val="24"/>
          <w:szCs w:val="24"/>
        </w:rPr>
        <w:t>燕东微</w:t>
      </w:r>
      <w:r w:rsidRPr="003D2015">
        <w:rPr>
          <w:rFonts w:asciiTheme="minorEastAsia" w:hAnsiTheme="minorEastAsia"/>
          <w:sz w:val="24"/>
          <w:szCs w:val="24"/>
        </w:rPr>
        <w:tab/>
      </w:r>
      <w:r w:rsidRPr="003D2015">
        <w:rPr>
          <w:rFonts w:asciiTheme="minorEastAsia" w:hAnsiTheme="minorEastAsia" w:hint="eastAsia"/>
          <w:sz w:val="24"/>
          <w:szCs w:val="24"/>
        </w:rPr>
        <w:t>33.33</w:t>
      </w:r>
    </w:p>
    <w:p w:rsidR="00F90CE4" w:rsidRPr="003D2015" w:rsidRDefault="00F90CE4" w:rsidP="00840EC1">
      <w:pPr>
        <w:tabs>
          <w:tab w:val="left" w:pos="6730"/>
        </w:tabs>
        <w:jc w:val="left"/>
        <w:rPr>
          <w:rFonts w:asciiTheme="minorEastAsia" w:hAnsiTheme="minorEastAsia"/>
          <w:sz w:val="24"/>
          <w:szCs w:val="24"/>
        </w:rPr>
      </w:pPr>
      <w:r w:rsidRPr="003D2015">
        <w:rPr>
          <w:rFonts w:asciiTheme="minorEastAsia" w:hAnsiTheme="minorEastAsia" w:hint="eastAsia"/>
          <w:sz w:val="24"/>
          <w:szCs w:val="24"/>
        </w:rPr>
        <w:t>晶升装备</w:t>
      </w:r>
      <w:r w:rsidRPr="003D2015">
        <w:rPr>
          <w:rFonts w:asciiTheme="minorEastAsia" w:hAnsiTheme="minorEastAsia"/>
          <w:sz w:val="24"/>
          <w:szCs w:val="24"/>
        </w:rPr>
        <w:tab/>
      </w:r>
      <w:r w:rsidRPr="003D2015">
        <w:rPr>
          <w:rFonts w:asciiTheme="minorEastAsia" w:hAnsiTheme="minorEastAsia" w:hint="eastAsia"/>
          <w:sz w:val="24"/>
          <w:szCs w:val="24"/>
        </w:rPr>
        <w:t>25.89</w:t>
      </w:r>
    </w:p>
    <w:p w:rsidR="00F90CE4" w:rsidRPr="003D2015" w:rsidRDefault="00F90CE4" w:rsidP="00840EC1">
      <w:pPr>
        <w:tabs>
          <w:tab w:val="left" w:pos="6730"/>
        </w:tabs>
        <w:jc w:val="left"/>
        <w:rPr>
          <w:rFonts w:asciiTheme="minorEastAsia" w:hAnsiTheme="minorEastAsia"/>
          <w:sz w:val="24"/>
          <w:szCs w:val="24"/>
        </w:rPr>
      </w:pPr>
      <w:r w:rsidRPr="003D2015">
        <w:rPr>
          <w:rFonts w:asciiTheme="minorEastAsia" w:hAnsiTheme="minorEastAsia" w:hint="eastAsia"/>
          <w:sz w:val="24"/>
          <w:szCs w:val="24"/>
        </w:rPr>
        <w:t>民德电子</w:t>
      </w:r>
      <w:r w:rsidRPr="003D2015">
        <w:rPr>
          <w:rFonts w:asciiTheme="minorEastAsia" w:hAnsiTheme="minorEastAsia"/>
          <w:sz w:val="24"/>
          <w:szCs w:val="24"/>
        </w:rPr>
        <w:tab/>
      </w:r>
      <w:r w:rsidRPr="003D2015">
        <w:rPr>
          <w:rFonts w:asciiTheme="minorEastAsia" w:hAnsiTheme="minorEastAsia" w:hint="eastAsia"/>
          <w:sz w:val="24"/>
          <w:szCs w:val="24"/>
        </w:rPr>
        <w:t>9.6</w:t>
      </w:r>
    </w:p>
    <w:p w:rsidR="00F90CE4" w:rsidRPr="003D2015" w:rsidRDefault="00F90CE4" w:rsidP="00840EC1">
      <w:pPr>
        <w:tabs>
          <w:tab w:val="left" w:pos="6730"/>
        </w:tabs>
        <w:jc w:val="left"/>
        <w:rPr>
          <w:rFonts w:asciiTheme="minorEastAsia" w:hAnsiTheme="minorEastAsia"/>
          <w:sz w:val="24"/>
          <w:szCs w:val="24"/>
        </w:rPr>
      </w:pPr>
      <w:r w:rsidRPr="003D2015">
        <w:rPr>
          <w:rFonts w:asciiTheme="minorEastAsia" w:hAnsiTheme="minorEastAsia" w:hint="eastAsia"/>
          <w:sz w:val="24"/>
          <w:szCs w:val="24"/>
        </w:rPr>
        <w:t>上海瞻芯</w:t>
      </w:r>
      <w:r w:rsidRPr="003D2015">
        <w:rPr>
          <w:rFonts w:asciiTheme="minorEastAsia" w:hAnsiTheme="minorEastAsia"/>
          <w:sz w:val="24"/>
          <w:szCs w:val="24"/>
        </w:rPr>
        <w:tab/>
      </w:r>
      <w:r w:rsidRPr="003D2015">
        <w:rPr>
          <w:rFonts w:asciiTheme="minorEastAsia" w:hAnsiTheme="minorEastAsia" w:hint="eastAsia"/>
          <w:sz w:val="24"/>
          <w:szCs w:val="24"/>
        </w:rPr>
        <w:t>0.18</w:t>
      </w:r>
    </w:p>
    <w:p w:rsidR="00F90CE4" w:rsidRPr="00160843" w:rsidRDefault="00F90CE4" w:rsidP="00840EC1">
      <w:pPr>
        <w:tabs>
          <w:tab w:val="left" w:pos="6730"/>
        </w:tabs>
        <w:jc w:val="left"/>
        <w:rPr>
          <w:rFonts w:asciiTheme="minorEastAsia" w:hAnsiTheme="minorEastAsia"/>
          <w:sz w:val="24"/>
          <w:szCs w:val="24"/>
        </w:rPr>
      </w:pPr>
      <w:r w:rsidRPr="003D2015">
        <w:rPr>
          <w:rFonts w:asciiTheme="minorEastAsia" w:hAnsiTheme="minorEastAsia" w:hint="eastAsia"/>
          <w:sz w:val="24"/>
          <w:szCs w:val="24"/>
        </w:rPr>
        <w:t>宁德时代</w:t>
      </w:r>
      <w:r w:rsidRPr="003D2015">
        <w:rPr>
          <w:rFonts w:asciiTheme="minorEastAsia" w:hAnsiTheme="minorEastAsia"/>
          <w:sz w:val="24"/>
          <w:szCs w:val="24"/>
        </w:rPr>
        <w:tab/>
      </w:r>
      <w:r w:rsidRPr="003D2015">
        <w:rPr>
          <w:rFonts w:asciiTheme="minorEastAsia" w:hAnsiTheme="minorEastAsia" w:hint="eastAsia"/>
          <w:sz w:val="24"/>
          <w:szCs w:val="24"/>
        </w:rPr>
        <w:t>9.14</w:t>
      </w:r>
    </w:p>
    <w:p w:rsidR="009F07B7" w:rsidRPr="00160843" w:rsidRDefault="009F07B7" w:rsidP="003D2015">
      <w:pPr>
        <w:rPr>
          <w:rFonts w:asciiTheme="minorEastAsia" w:hAnsiTheme="minorEastAsia"/>
          <w:sz w:val="24"/>
          <w:szCs w:val="24"/>
        </w:rPr>
      </w:pPr>
    </w:p>
    <w:sectPr w:rsidR="009F07B7" w:rsidRPr="00160843" w:rsidSect="00C02DD8">
      <w:pgSz w:w="16839" w:h="23814" w:code="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259A" w:rsidRDefault="00C3259A" w:rsidP="007D01DF">
      <w:r>
        <w:separator/>
      </w:r>
    </w:p>
  </w:endnote>
  <w:endnote w:type="continuationSeparator" w:id="0">
    <w:p w:rsidR="00C3259A" w:rsidRDefault="00C3259A" w:rsidP="007D0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行楷">
    <w:panose1 w:val="02010800040101010101"/>
    <w:charset w:val="86"/>
    <w:family w:val="auto"/>
    <w:pitch w:val="variable"/>
    <w:sig w:usb0="00000001" w:usb1="080F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259A" w:rsidRDefault="00C3259A" w:rsidP="007D01DF">
      <w:r>
        <w:separator/>
      </w:r>
    </w:p>
  </w:footnote>
  <w:footnote w:type="continuationSeparator" w:id="0">
    <w:p w:rsidR="00C3259A" w:rsidRDefault="00C3259A" w:rsidP="007D01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gutterAtTop/>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EDE"/>
    <w:rsid w:val="000119E0"/>
    <w:rsid w:val="000121AF"/>
    <w:rsid w:val="00017FCF"/>
    <w:rsid w:val="0003736B"/>
    <w:rsid w:val="000F2937"/>
    <w:rsid w:val="0010370A"/>
    <w:rsid w:val="00124824"/>
    <w:rsid w:val="001316D0"/>
    <w:rsid w:val="00160843"/>
    <w:rsid w:val="001A2BF1"/>
    <w:rsid w:val="001B7AD1"/>
    <w:rsid w:val="002D475D"/>
    <w:rsid w:val="003474D4"/>
    <w:rsid w:val="003579E9"/>
    <w:rsid w:val="00373E00"/>
    <w:rsid w:val="003B228E"/>
    <w:rsid w:val="003C0A07"/>
    <w:rsid w:val="003C6FBF"/>
    <w:rsid w:val="003D2015"/>
    <w:rsid w:val="003E0ED3"/>
    <w:rsid w:val="003E0EFC"/>
    <w:rsid w:val="004073D1"/>
    <w:rsid w:val="004253B2"/>
    <w:rsid w:val="00471FD1"/>
    <w:rsid w:val="004E6BAB"/>
    <w:rsid w:val="005B1567"/>
    <w:rsid w:val="0060033B"/>
    <w:rsid w:val="00600E0C"/>
    <w:rsid w:val="0062700E"/>
    <w:rsid w:val="00662939"/>
    <w:rsid w:val="006D6FE7"/>
    <w:rsid w:val="00764EDA"/>
    <w:rsid w:val="00780482"/>
    <w:rsid w:val="007D01DF"/>
    <w:rsid w:val="0080423D"/>
    <w:rsid w:val="00806FC4"/>
    <w:rsid w:val="00812A34"/>
    <w:rsid w:val="008559DE"/>
    <w:rsid w:val="00894CE6"/>
    <w:rsid w:val="008B790F"/>
    <w:rsid w:val="008C1DF4"/>
    <w:rsid w:val="00914125"/>
    <w:rsid w:val="00973357"/>
    <w:rsid w:val="009A7522"/>
    <w:rsid w:val="009D3A66"/>
    <w:rsid w:val="009F07B7"/>
    <w:rsid w:val="00A00D20"/>
    <w:rsid w:val="00A12F36"/>
    <w:rsid w:val="00A6013F"/>
    <w:rsid w:val="00AD2039"/>
    <w:rsid w:val="00AE684F"/>
    <w:rsid w:val="00AF53C1"/>
    <w:rsid w:val="00B05A3E"/>
    <w:rsid w:val="00B37D00"/>
    <w:rsid w:val="00B5521B"/>
    <w:rsid w:val="00BC58DA"/>
    <w:rsid w:val="00BE078E"/>
    <w:rsid w:val="00C02DD8"/>
    <w:rsid w:val="00C07EDE"/>
    <w:rsid w:val="00C3259A"/>
    <w:rsid w:val="00C72A02"/>
    <w:rsid w:val="00C97E4A"/>
    <w:rsid w:val="00CB6807"/>
    <w:rsid w:val="00DB7CC2"/>
    <w:rsid w:val="00DC6641"/>
    <w:rsid w:val="00DD1FED"/>
    <w:rsid w:val="00DF20D6"/>
    <w:rsid w:val="00E03A3E"/>
    <w:rsid w:val="00E16105"/>
    <w:rsid w:val="00E74504"/>
    <w:rsid w:val="00E921C5"/>
    <w:rsid w:val="00ED496C"/>
    <w:rsid w:val="00EE2B5D"/>
    <w:rsid w:val="00EF1502"/>
    <w:rsid w:val="00F2282B"/>
    <w:rsid w:val="00F62BA3"/>
    <w:rsid w:val="00F90CE4"/>
    <w:rsid w:val="00F93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C07EDE"/>
    <w:pPr>
      <w:ind w:leftChars="2500" w:left="100"/>
    </w:pPr>
  </w:style>
  <w:style w:type="character" w:customStyle="1" w:styleId="Char">
    <w:name w:val="日期 Char"/>
    <w:basedOn w:val="a0"/>
    <w:link w:val="a3"/>
    <w:uiPriority w:val="99"/>
    <w:semiHidden/>
    <w:rsid w:val="00C07EDE"/>
  </w:style>
  <w:style w:type="paragraph" w:styleId="a4">
    <w:name w:val="header"/>
    <w:basedOn w:val="a"/>
    <w:link w:val="Char0"/>
    <w:uiPriority w:val="99"/>
    <w:unhideWhenUsed/>
    <w:rsid w:val="007D01D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D01DF"/>
    <w:rPr>
      <w:sz w:val="18"/>
      <w:szCs w:val="18"/>
    </w:rPr>
  </w:style>
  <w:style w:type="paragraph" w:styleId="a5">
    <w:name w:val="footer"/>
    <w:basedOn w:val="a"/>
    <w:link w:val="Char1"/>
    <w:uiPriority w:val="99"/>
    <w:unhideWhenUsed/>
    <w:rsid w:val="007D01DF"/>
    <w:pPr>
      <w:tabs>
        <w:tab w:val="center" w:pos="4153"/>
        <w:tab w:val="right" w:pos="8306"/>
      </w:tabs>
      <w:snapToGrid w:val="0"/>
      <w:jc w:val="left"/>
    </w:pPr>
    <w:rPr>
      <w:sz w:val="18"/>
      <w:szCs w:val="18"/>
    </w:rPr>
  </w:style>
  <w:style w:type="character" w:customStyle="1" w:styleId="Char1">
    <w:name w:val="页脚 Char"/>
    <w:basedOn w:val="a0"/>
    <w:link w:val="a5"/>
    <w:uiPriority w:val="99"/>
    <w:rsid w:val="007D01DF"/>
    <w:rPr>
      <w:sz w:val="18"/>
      <w:szCs w:val="18"/>
    </w:rPr>
  </w:style>
  <w:style w:type="paragraph" w:styleId="a6">
    <w:name w:val="Title"/>
    <w:basedOn w:val="a"/>
    <w:next w:val="a"/>
    <w:link w:val="Char2"/>
    <w:uiPriority w:val="10"/>
    <w:qFormat/>
    <w:rsid w:val="004253B2"/>
    <w:pPr>
      <w:spacing w:before="240" w:after="60"/>
      <w:jc w:val="center"/>
      <w:outlineLvl w:val="0"/>
    </w:pPr>
    <w:rPr>
      <w:rFonts w:asciiTheme="majorHAnsi" w:eastAsia="华文行楷" w:hAnsiTheme="majorHAnsi" w:cstheme="majorBidi"/>
      <w:bCs/>
      <w:sz w:val="44"/>
      <w:szCs w:val="32"/>
    </w:rPr>
  </w:style>
  <w:style w:type="character" w:customStyle="1" w:styleId="Char2">
    <w:name w:val="标题 Char"/>
    <w:basedOn w:val="a0"/>
    <w:link w:val="a6"/>
    <w:uiPriority w:val="10"/>
    <w:rsid w:val="004253B2"/>
    <w:rPr>
      <w:rFonts w:asciiTheme="majorHAnsi" w:eastAsia="华文行楷" w:hAnsiTheme="majorHAnsi" w:cstheme="majorBidi"/>
      <w:bCs/>
      <w:sz w:val="44"/>
      <w:szCs w:val="32"/>
    </w:rPr>
  </w:style>
  <w:style w:type="paragraph" w:styleId="a7">
    <w:name w:val="Subtitle"/>
    <w:basedOn w:val="a"/>
    <w:next w:val="a"/>
    <w:link w:val="Char3"/>
    <w:uiPriority w:val="11"/>
    <w:qFormat/>
    <w:rsid w:val="00DB7CC2"/>
    <w:pPr>
      <w:spacing w:before="240" w:after="60" w:line="312" w:lineRule="auto"/>
      <w:jc w:val="right"/>
      <w:outlineLvl w:val="1"/>
    </w:pPr>
    <w:rPr>
      <w:rFonts w:asciiTheme="majorHAnsi" w:eastAsia="华文行楷" w:hAnsiTheme="majorHAnsi" w:cstheme="majorBidi"/>
      <w:b/>
      <w:bCs/>
      <w:kern w:val="28"/>
      <w:sz w:val="32"/>
      <w:szCs w:val="32"/>
    </w:rPr>
  </w:style>
  <w:style w:type="character" w:customStyle="1" w:styleId="Char3">
    <w:name w:val="副标题 Char"/>
    <w:basedOn w:val="a0"/>
    <w:link w:val="a7"/>
    <w:uiPriority w:val="11"/>
    <w:rsid w:val="00DB7CC2"/>
    <w:rPr>
      <w:rFonts w:asciiTheme="majorHAnsi" w:eastAsia="华文行楷" w:hAnsiTheme="majorHAnsi" w:cstheme="majorBidi"/>
      <w:b/>
      <w:bCs/>
      <w:kern w:val="28"/>
      <w:sz w:val="32"/>
      <w:szCs w:val="32"/>
    </w:rPr>
  </w:style>
  <w:style w:type="table" w:styleId="a8">
    <w:name w:val="Table Grid"/>
    <w:basedOn w:val="a1"/>
    <w:uiPriority w:val="59"/>
    <w:rsid w:val="003D2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C07EDE"/>
    <w:pPr>
      <w:ind w:leftChars="2500" w:left="100"/>
    </w:pPr>
  </w:style>
  <w:style w:type="character" w:customStyle="1" w:styleId="Char">
    <w:name w:val="日期 Char"/>
    <w:basedOn w:val="a0"/>
    <w:link w:val="a3"/>
    <w:uiPriority w:val="99"/>
    <w:semiHidden/>
    <w:rsid w:val="00C07EDE"/>
  </w:style>
  <w:style w:type="paragraph" w:styleId="a4">
    <w:name w:val="header"/>
    <w:basedOn w:val="a"/>
    <w:link w:val="Char0"/>
    <w:uiPriority w:val="99"/>
    <w:unhideWhenUsed/>
    <w:rsid w:val="007D01D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7D01DF"/>
    <w:rPr>
      <w:sz w:val="18"/>
      <w:szCs w:val="18"/>
    </w:rPr>
  </w:style>
  <w:style w:type="paragraph" w:styleId="a5">
    <w:name w:val="footer"/>
    <w:basedOn w:val="a"/>
    <w:link w:val="Char1"/>
    <w:uiPriority w:val="99"/>
    <w:unhideWhenUsed/>
    <w:rsid w:val="007D01DF"/>
    <w:pPr>
      <w:tabs>
        <w:tab w:val="center" w:pos="4153"/>
        <w:tab w:val="right" w:pos="8306"/>
      </w:tabs>
      <w:snapToGrid w:val="0"/>
      <w:jc w:val="left"/>
    </w:pPr>
    <w:rPr>
      <w:sz w:val="18"/>
      <w:szCs w:val="18"/>
    </w:rPr>
  </w:style>
  <w:style w:type="character" w:customStyle="1" w:styleId="Char1">
    <w:name w:val="页脚 Char"/>
    <w:basedOn w:val="a0"/>
    <w:link w:val="a5"/>
    <w:uiPriority w:val="99"/>
    <w:rsid w:val="007D01DF"/>
    <w:rPr>
      <w:sz w:val="18"/>
      <w:szCs w:val="18"/>
    </w:rPr>
  </w:style>
  <w:style w:type="paragraph" w:styleId="a6">
    <w:name w:val="Title"/>
    <w:basedOn w:val="a"/>
    <w:next w:val="a"/>
    <w:link w:val="Char2"/>
    <w:uiPriority w:val="10"/>
    <w:qFormat/>
    <w:rsid w:val="004253B2"/>
    <w:pPr>
      <w:spacing w:before="240" w:after="60"/>
      <w:jc w:val="center"/>
      <w:outlineLvl w:val="0"/>
    </w:pPr>
    <w:rPr>
      <w:rFonts w:asciiTheme="majorHAnsi" w:eastAsia="华文行楷" w:hAnsiTheme="majorHAnsi" w:cstheme="majorBidi"/>
      <w:bCs/>
      <w:sz w:val="44"/>
      <w:szCs w:val="32"/>
    </w:rPr>
  </w:style>
  <w:style w:type="character" w:customStyle="1" w:styleId="Char2">
    <w:name w:val="标题 Char"/>
    <w:basedOn w:val="a0"/>
    <w:link w:val="a6"/>
    <w:uiPriority w:val="10"/>
    <w:rsid w:val="004253B2"/>
    <w:rPr>
      <w:rFonts w:asciiTheme="majorHAnsi" w:eastAsia="华文行楷" w:hAnsiTheme="majorHAnsi" w:cstheme="majorBidi"/>
      <w:bCs/>
      <w:sz w:val="44"/>
      <w:szCs w:val="32"/>
    </w:rPr>
  </w:style>
  <w:style w:type="paragraph" w:styleId="a7">
    <w:name w:val="Subtitle"/>
    <w:basedOn w:val="a"/>
    <w:next w:val="a"/>
    <w:link w:val="Char3"/>
    <w:uiPriority w:val="11"/>
    <w:qFormat/>
    <w:rsid w:val="00DB7CC2"/>
    <w:pPr>
      <w:spacing w:before="240" w:after="60" w:line="312" w:lineRule="auto"/>
      <w:jc w:val="right"/>
      <w:outlineLvl w:val="1"/>
    </w:pPr>
    <w:rPr>
      <w:rFonts w:asciiTheme="majorHAnsi" w:eastAsia="华文行楷" w:hAnsiTheme="majorHAnsi" w:cstheme="majorBidi"/>
      <w:b/>
      <w:bCs/>
      <w:kern w:val="28"/>
      <w:sz w:val="32"/>
      <w:szCs w:val="32"/>
    </w:rPr>
  </w:style>
  <w:style w:type="character" w:customStyle="1" w:styleId="Char3">
    <w:name w:val="副标题 Char"/>
    <w:basedOn w:val="a0"/>
    <w:link w:val="a7"/>
    <w:uiPriority w:val="11"/>
    <w:rsid w:val="00DB7CC2"/>
    <w:rPr>
      <w:rFonts w:asciiTheme="majorHAnsi" w:eastAsia="华文行楷" w:hAnsiTheme="majorHAnsi" w:cstheme="majorBidi"/>
      <w:b/>
      <w:bCs/>
      <w:kern w:val="28"/>
      <w:sz w:val="32"/>
      <w:szCs w:val="32"/>
    </w:rPr>
  </w:style>
  <w:style w:type="table" w:styleId="a8">
    <w:name w:val="Table Grid"/>
    <w:basedOn w:val="a1"/>
    <w:uiPriority w:val="59"/>
    <w:rsid w:val="003D20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1095</TotalTime>
  <Pages>1</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c:creator>
  <cp:lastModifiedBy>王长春</cp:lastModifiedBy>
  <cp:revision>61</cp:revision>
  <dcterms:created xsi:type="dcterms:W3CDTF">2013-02-05T13:05:00Z</dcterms:created>
  <dcterms:modified xsi:type="dcterms:W3CDTF">2023-04-09T02:19:00Z</dcterms:modified>
</cp:coreProperties>
</file>