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98F" w:rsidRPr="00C64511" w:rsidRDefault="0019598F" w:rsidP="0019598F">
      <w:pPr>
        <w:rPr>
          <w:rFonts w:ascii="仿宋" w:eastAsia="仿宋" w:hAnsi="仿宋"/>
          <w:b/>
          <w:kern w:val="0"/>
          <w:sz w:val="36"/>
          <w:szCs w:val="36"/>
        </w:rPr>
      </w:pPr>
      <w:r w:rsidRPr="00C64511">
        <w:rPr>
          <w:rFonts w:ascii="仿宋" w:eastAsia="仿宋" w:hAnsi="仿宋" w:hint="eastAsia"/>
          <w:b/>
          <w:kern w:val="0"/>
          <w:sz w:val="36"/>
          <w:szCs w:val="36"/>
        </w:rPr>
        <w:t>互联网背景下我国汽车融资租赁发展状况报告</w:t>
      </w:r>
    </w:p>
    <w:p w:rsidR="00C64511" w:rsidRPr="00B00082" w:rsidRDefault="00C64511" w:rsidP="00C64511">
      <w:pPr>
        <w:rPr>
          <w:rFonts w:ascii="仿宋" w:eastAsia="仿宋" w:hAnsi="仿宋"/>
          <w:b/>
          <w:kern w:val="0"/>
          <w:sz w:val="36"/>
          <w:szCs w:val="36"/>
        </w:rPr>
      </w:pPr>
      <w:r w:rsidRPr="00B00082">
        <w:rPr>
          <w:rFonts w:ascii="仿宋" w:eastAsia="仿宋" w:hAnsi="仿宋" w:hint="eastAsia"/>
          <w:b/>
          <w:kern w:val="0"/>
          <w:sz w:val="36"/>
          <w:szCs w:val="36"/>
        </w:rPr>
        <w:t>安徽省工信局</w:t>
      </w:r>
      <w:r>
        <w:rPr>
          <w:rFonts w:ascii="宋体" w:hAnsi="宋体" w:cs="宋体" w:hint="eastAsia"/>
          <w:b/>
          <w:kern w:val="0"/>
          <w:sz w:val="36"/>
          <w:szCs w:val="36"/>
        </w:rPr>
        <w:t>·</w:t>
      </w:r>
      <w:r w:rsidRPr="00B00082">
        <w:rPr>
          <w:rFonts w:ascii="仿宋" w:eastAsia="仿宋" w:hAnsi="仿宋" w:cs="仿宋" w:hint="eastAsia"/>
          <w:b/>
          <w:kern w:val="0"/>
          <w:sz w:val="36"/>
          <w:szCs w:val="36"/>
        </w:rPr>
        <w:t>安徽省</w:t>
      </w:r>
      <w:r>
        <w:rPr>
          <w:rFonts w:ascii="仿宋" w:eastAsia="仿宋" w:hAnsi="仿宋" w:cs="仿宋" w:hint="eastAsia"/>
          <w:b/>
          <w:kern w:val="0"/>
          <w:sz w:val="36"/>
          <w:szCs w:val="36"/>
        </w:rPr>
        <w:t>汽车</w:t>
      </w:r>
      <w:r w:rsidRPr="00B00082">
        <w:rPr>
          <w:rFonts w:ascii="仿宋" w:eastAsia="仿宋" w:hAnsi="仿宋" w:cs="仿宋" w:hint="eastAsia"/>
          <w:b/>
          <w:kern w:val="0"/>
          <w:sz w:val="36"/>
          <w:szCs w:val="36"/>
        </w:rPr>
        <w:t>产业协会</w:t>
      </w:r>
    </w:p>
    <w:p w:rsidR="00C64511" w:rsidRPr="00B00082" w:rsidRDefault="00C64511" w:rsidP="00C64511">
      <w:pPr>
        <w:rPr>
          <w:rFonts w:ascii="仿宋" w:eastAsia="仿宋" w:hAnsi="仿宋"/>
          <w:b/>
          <w:kern w:val="0"/>
          <w:sz w:val="36"/>
          <w:szCs w:val="36"/>
        </w:rPr>
      </w:pPr>
      <w:r w:rsidRPr="00B00082">
        <w:rPr>
          <w:rFonts w:ascii="仿宋" w:eastAsia="仿宋" w:hAnsi="仿宋" w:hint="eastAsia"/>
          <w:b/>
          <w:kern w:val="0"/>
          <w:sz w:val="36"/>
          <w:szCs w:val="36"/>
        </w:rPr>
        <w:t>二○二</w:t>
      </w:r>
      <w:r>
        <w:rPr>
          <w:rFonts w:ascii="仿宋" w:eastAsia="仿宋" w:hAnsi="仿宋" w:hint="eastAsia"/>
          <w:b/>
          <w:kern w:val="0"/>
          <w:sz w:val="36"/>
          <w:szCs w:val="36"/>
        </w:rPr>
        <w:t>二</w:t>
      </w:r>
      <w:r w:rsidRPr="00B00082">
        <w:rPr>
          <w:rFonts w:ascii="仿宋" w:eastAsia="仿宋" w:hAnsi="仿宋" w:hint="eastAsia"/>
          <w:b/>
          <w:kern w:val="0"/>
          <w:sz w:val="36"/>
          <w:szCs w:val="36"/>
        </w:rPr>
        <w:t>年</w:t>
      </w:r>
      <w:r>
        <w:rPr>
          <w:rFonts w:ascii="仿宋" w:eastAsia="仿宋" w:hAnsi="仿宋" w:hint="eastAsia"/>
          <w:b/>
          <w:kern w:val="0"/>
          <w:sz w:val="36"/>
          <w:szCs w:val="36"/>
        </w:rPr>
        <w:t>十</w:t>
      </w:r>
      <w:r w:rsidRPr="00B00082">
        <w:rPr>
          <w:rFonts w:ascii="仿宋" w:eastAsia="仿宋" w:hAnsi="仿宋" w:hint="eastAsia"/>
          <w:b/>
          <w:kern w:val="0"/>
          <w:sz w:val="36"/>
          <w:szCs w:val="36"/>
        </w:rPr>
        <w:t>月</w:t>
      </w:r>
    </w:p>
    <w:p w:rsidR="0019598F" w:rsidRPr="001462A1" w:rsidRDefault="0019598F" w:rsidP="001462A1">
      <w:pPr>
        <w:ind w:firstLineChars="200" w:firstLine="560"/>
        <w:rPr>
          <w:rFonts w:asciiTheme="minorEastAsia" w:eastAsiaTheme="minorEastAsia" w:hAnsiTheme="minorEastAsia" w:cs="宋体"/>
          <w:sz w:val="28"/>
          <w:szCs w:val="28"/>
        </w:rPr>
      </w:pPr>
      <w:r w:rsidRPr="001462A1">
        <w:rPr>
          <w:rFonts w:asciiTheme="minorEastAsia" w:eastAsiaTheme="minorEastAsia" w:hAnsiTheme="minorEastAsia" w:cs="宋体" w:hint="eastAsia"/>
          <w:sz w:val="28"/>
          <w:szCs w:val="28"/>
        </w:rPr>
        <w:t>基于互联网背景下探究汽车融资租赁的体系框架、</w:t>
      </w:r>
      <w:proofErr w:type="gramStart"/>
      <w:r w:rsidRPr="001462A1">
        <w:rPr>
          <w:rFonts w:asciiTheme="minorEastAsia" w:eastAsiaTheme="minorEastAsia" w:hAnsiTheme="minorEastAsia" w:cs="宋体" w:hint="eastAsia"/>
          <w:sz w:val="28"/>
          <w:szCs w:val="28"/>
        </w:rPr>
        <w:t>获客方式</w:t>
      </w:r>
      <w:proofErr w:type="gramEnd"/>
      <w:r w:rsidRPr="001462A1">
        <w:rPr>
          <w:rFonts w:asciiTheme="minorEastAsia" w:eastAsiaTheme="minorEastAsia" w:hAnsiTheme="minorEastAsia" w:cs="宋体" w:hint="eastAsia"/>
          <w:sz w:val="28"/>
          <w:szCs w:val="28"/>
        </w:rPr>
        <w:t>、风险控制和盈利模式等，分析其在当前市场发展中存在的问题和不足，并提出有效的针对性措施。同时基于银行角度提出有效建议，推动互联网背景下汽车融资租赁的向前发展。重视分析互联网这一关键要素的融合对传统汽车行业的影响，对比两种汽车融资租赁模式，售后回租业和直接租赁两种模式各有优缺点。</w:t>
      </w:r>
    </w:p>
    <w:p w:rsidR="00C64511" w:rsidRPr="001462A1" w:rsidRDefault="00C64511" w:rsidP="001462A1">
      <w:pPr>
        <w:ind w:firstLine="440"/>
        <w:rPr>
          <w:rFonts w:asciiTheme="minorEastAsia" w:eastAsiaTheme="minorEastAsia" w:hAnsiTheme="minorEastAsia" w:cs="宋体"/>
          <w:sz w:val="28"/>
          <w:szCs w:val="28"/>
        </w:rPr>
      </w:pPr>
      <w:r w:rsidRPr="001462A1">
        <w:rPr>
          <w:rFonts w:asciiTheme="minorEastAsia" w:eastAsiaTheme="minorEastAsia" w:hAnsiTheme="minorEastAsia" w:cs="宋体" w:hint="eastAsia"/>
          <w:sz w:val="28"/>
          <w:szCs w:val="28"/>
        </w:rPr>
        <w:t>本报告中所列数据的统计期限自2021年10月1日起，至2020年10月1日止。本报告的电子版可在</w:t>
      </w:r>
      <w:bookmarkStart w:id="0" w:name="_GoBack"/>
      <w:r w:rsidR="00BE1DD2" w:rsidRPr="00BE1DD2">
        <w:rPr>
          <w:rFonts w:asciiTheme="minorEastAsia" w:eastAsiaTheme="minorEastAsia" w:hAnsiTheme="minorEastAsia" w:hint="eastAsia"/>
          <w:b/>
          <w:color w:val="FF0000"/>
          <w:kern w:val="0"/>
          <w:sz w:val="28"/>
          <w:szCs w:val="28"/>
        </w:rPr>
        <w:t>安徽省汽车产业协会</w:t>
      </w:r>
      <w:r w:rsidRPr="001462A1">
        <w:rPr>
          <w:rFonts w:asciiTheme="minorEastAsia" w:eastAsiaTheme="minorEastAsia" w:hAnsiTheme="minorEastAsia" w:hint="eastAsia"/>
          <w:b/>
          <w:color w:val="FF0000"/>
          <w:kern w:val="0"/>
          <w:sz w:val="28"/>
          <w:szCs w:val="28"/>
        </w:rPr>
        <w:t>网站</w:t>
      </w:r>
      <w:bookmarkEnd w:id="0"/>
      <w:r w:rsidRPr="001462A1">
        <w:rPr>
          <w:rFonts w:asciiTheme="minorEastAsia" w:eastAsiaTheme="minorEastAsia" w:hAnsiTheme="minorEastAsia" w:cs="宋体" w:hint="eastAsia"/>
          <w:sz w:val="28"/>
          <w:szCs w:val="28"/>
        </w:rPr>
        <w:t>上下载</w:t>
      </w:r>
      <w:r w:rsidRPr="00E25070">
        <w:rPr>
          <w:rFonts w:asciiTheme="minorEastAsia" w:eastAsiaTheme="minorEastAsia" w:hAnsiTheme="minorEastAsia" w:cs="宋体" w:hint="eastAsia"/>
          <w:sz w:val="28"/>
          <w:szCs w:val="28"/>
        </w:rPr>
        <w:t>。</w:t>
      </w:r>
    </w:p>
    <w:p w:rsidR="0019598F" w:rsidRPr="00F81A5A" w:rsidRDefault="00F81A5A" w:rsidP="0019598F">
      <w:pPr>
        <w:rPr>
          <w:rFonts w:ascii="楷体" w:eastAsia="楷体" w:hAnsi="楷体"/>
          <w:b/>
          <w:color w:val="C00000"/>
          <w:kern w:val="0"/>
          <w:sz w:val="32"/>
          <w:szCs w:val="32"/>
        </w:rPr>
      </w:pPr>
      <w:r w:rsidRPr="001D434D">
        <w:rPr>
          <w:rFonts w:ascii="楷体" w:eastAsia="楷体" w:hAnsi="楷体" w:hint="eastAsia"/>
          <w:b/>
          <w:color w:val="C00000"/>
          <w:kern w:val="0"/>
          <w:sz w:val="32"/>
          <w:szCs w:val="32"/>
        </w:rPr>
        <w:t>一、</w:t>
      </w:r>
      <w:r w:rsidR="0019598F" w:rsidRPr="00F81A5A">
        <w:rPr>
          <w:rFonts w:ascii="楷体" w:eastAsia="楷体" w:hAnsi="楷体" w:hint="eastAsia"/>
          <w:b/>
          <w:color w:val="C00000"/>
          <w:kern w:val="0"/>
          <w:sz w:val="32"/>
          <w:szCs w:val="32"/>
        </w:rPr>
        <w:t>汽车融资租赁体系框架</w:t>
      </w:r>
    </w:p>
    <w:p w:rsidR="0019598F" w:rsidRPr="00B26F14" w:rsidRDefault="00B26F14" w:rsidP="00B26F14">
      <w:pPr>
        <w:ind w:firstLineChars="200" w:firstLine="602"/>
        <w:rPr>
          <w:rFonts w:ascii="宋体" w:hAnsi="宋体"/>
          <w:b/>
          <w:color w:val="C00000"/>
          <w:kern w:val="0"/>
          <w:sz w:val="30"/>
          <w:szCs w:val="30"/>
        </w:rPr>
      </w:pPr>
      <w:r w:rsidRPr="00AE5F7D">
        <w:rPr>
          <w:rFonts w:ascii="宋体" w:hAnsi="宋体" w:hint="eastAsia"/>
          <w:b/>
          <w:color w:val="C00000"/>
          <w:kern w:val="0"/>
          <w:sz w:val="30"/>
          <w:szCs w:val="30"/>
        </w:rPr>
        <w:t>（一）</w:t>
      </w:r>
      <w:r w:rsidR="0019598F" w:rsidRPr="00B26F14">
        <w:rPr>
          <w:rFonts w:ascii="宋体" w:hAnsi="宋体" w:hint="eastAsia"/>
          <w:b/>
          <w:color w:val="C00000"/>
          <w:kern w:val="0"/>
          <w:sz w:val="30"/>
          <w:szCs w:val="30"/>
        </w:rPr>
        <w:t>汽车融资租赁框架描述</w:t>
      </w:r>
    </w:p>
    <w:p w:rsidR="0019598F" w:rsidRPr="001462A1" w:rsidRDefault="0019598F" w:rsidP="001462A1">
      <w:pPr>
        <w:ind w:firstLineChars="200" w:firstLine="560"/>
        <w:rPr>
          <w:rFonts w:asciiTheme="minorEastAsia" w:eastAsiaTheme="minorEastAsia" w:hAnsiTheme="minorEastAsia" w:cs="宋体"/>
          <w:sz w:val="28"/>
          <w:szCs w:val="28"/>
        </w:rPr>
      </w:pPr>
      <w:r w:rsidRPr="001462A1">
        <w:rPr>
          <w:rFonts w:asciiTheme="minorEastAsia" w:eastAsiaTheme="minorEastAsia" w:hAnsiTheme="minorEastAsia" w:cs="宋体" w:hint="eastAsia"/>
          <w:sz w:val="28"/>
          <w:szCs w:val="28"/>
        </w:rPr>
        <w:t>汽车融资租赁框架主要包括以下三个组成部分:</w:t>
      </w:r>
    </w:p>
    <w:p w:rsidR="001462A1" w:rsidRPr="001462A1" w:rsidRDefault="001462A1" w:rsidP="001462A1">
      <w:pPr>
        <w:ind w:firstLineChars="200" w:firstLine="560"/>
        <w:rPr>
          <w:rFonts w:ascii="黑体" w:eastAsia="黑体" w:hAnsi="黑体"/>
          <w:kern w:val="0"/>
          <w:sz w:val="28"/>
          <w:szCs w:val="28"/>
        </w:rPr>
      </w:pPr>
      <w:r w:rsidRPr="00005AD7">
        <w:rPr>
          <w:rFonts w:ascii="黑体" w:eastAsia="黑体" w:hAnsi="黑体" w:hint="eastAsia"/>
          <w:kern w:val="0"/>
          <w:sz w:val="28"/>
          <w:szCs w:val="28"/>
        </w:rPr>
        <w:t>1.</w:t>
      </w:r>
      <w:r w:rsidR="0019598F" w:rsidRPr="001462A1">
        <w:rPr>
          <w:rFonts w:ascii="黑体" w:eastAsia="黑体" w:hAnsi="黑体" w:hint="eastAsia"/>
          <w:kern w:val="0"/>
          <w:sz w:val="28"/>
          <w:szCs w:val="28"/>
        </w:rPr>
        <w:t>线下交易部分。</w:t>
      </w:r>
    </w:p>
    <w:p w:rsidR="0019598F" w:rsidRPr="001462A1" w:rsidRDefault="0019598F" w:rsidP="001462A1">
      <w:pPr>
        <w:ind w:firstLineChars="200" w:firstLine="560"/>
        <w:rPr>
          <w:rFonts w:asciiTheme="minorEastAsia" w:eastAsiaTheme="minorEastAsia" w:hAnsiTheme="minorEastAsia" w:cs="宋体"/>
          <w:sz w:val="28"/>
          <w:szCs w:val="28"/>
        </w:rPr>
      </w:pPr>
      <w:r w:rsidRPr="001462A1">
        <w:rPr>
          <w:rFonts w:asciiTheme="minorEastAsia" w:eastAsiaTheme="minorEastAsia" w:hAnsiTheme="minorEastAsia" w:cs="宋体" w:hint="eastAsia"/>
          <w:sz w:val="28"/>
          <w:szCs w:val="28"/>
        </w:rPr>
        <w:t>其是以线下门店作为载体，为习惯长期线下消费的客户提供服务。也能够为线上客户提供线下体验和验车、提车、保养等服务。</w:t>
      </w:r>
    </w:p>
    <w:p w:rsidR="001462A1" w:rsidRPr="001462A1" w:rsidRDefault="001462A1" w:rsidP="001462A1">
      <w:pPr>
        <w:ind w:firstLineChars="200" w:firstLine="560"/>
        <w:rPr>
          <w:rFonts w:ascii="黑体" w:eastAsia="黑体" w:hAnsi="黑体"/>
          <w:kern w:val="0"/>
          <w:sz w:val="28"/>
          <w:szCs w:val="28"/>
        </w:rPr>
      </w:pPr>
      <w:r>
        <w:rPr>
          <w:rFonts w:ascii="黑体" w:eastAsia="黑体" w:hAnsi="黑体" w:hint="eastAsia"/>
          <w:kern w:val="0"/>
          <w:sz w:val="28"/>
          <w:szCs w:val="28"/>
        </w:rPr>
        <w:t>2</w:t>
      </w:r>
      <w:r w:rsidRPr="00005AD7">
        <w:rPr>
          <w:rFonts w:ascii="黑体" w:eastAsia="黑体" w:hAnsi="黑体" w:hint="eastAsia"/>
          <w:kern w:val="0"/>
          <w:sz w:val="28"/>
          <w:szCs w:val="28"/>
        </w:rPr>
        <w:t>.</w:t>
      </w:r>
      <w:r w:rsidR="0019598F" w:rsidRPr="001462A1">
        <w:rPr>
          <w:rFonts w:ascii="黑体" w:eastAsia="黑体" w:hAnsi="黑体" w:hint="eastAsia"/>
          <w:kern w:val="0"/>
          <w:sz w:val="28"/>
          <w:szCs w:val="28"/>
        </w:rPr>
        <w:t>线上交易平台。</w:t>
      </w:r>
    </w:p>
    <w:p w:rsidR="0019598F" w:rsidRPr="001462A1" w:rsidRDefault="0019598F" w:rsidP="001462A1">
      <w:pPr>
        <w:ind w:firstLineChars="200" w:firstLine="560"/>
        <w:rPr>
          <w:rFonts w:asciiTheme="minorEastAsia" w:eastAsiaTheme="minorEastAsia" w:hAnsiTheme="minorEastAsia" w:cs="宋体"/>
          <w:sz w:val="28"/>
          <w:szCs w:val="28"/>
        </w:rPr>
      </w:pPr>
      <w:r w:rsidRPr="001462A1">
        <w:rPr>
          <w:rFonts w:asciiTheme="minorEastAsia" w:eastAsiaTheme="minorEastAsia" w:hAnsiTheme="minorEastAsia" w:cs="宋体" w:hint="eastAsia"/>
          <w:sz w:val="28"/>
          <w:szCs w:val="28"/>
        </w:rPr>
        <w:t>作为互联网融资租赁模式中的主要载体，涉及汽车经销商、出租人以及承租人等，并还可提供融资租赁服务及车辆买卖合同。承租人在线上平台选定车型后，提交融资租赁购车申请，通过后承租人可到</w:t>
      </w:r>
      <w:r w:rsidRPr="001462A1">
        <w:rPr>
          <w:rFonts w:asciiTheme="minorEastAsia" w:eastAsiaTheme="minorEastAsia" w:hAnsiTheme="minorEastAsia" w:cs="宋体" w:hint="eastAsia"/>
          <w:sz w:val="28"/>
          <w:szCs w:val="28"/>
        </w:rPr>
        <w:lastRenderedPageBreak/>
        <w:t>门店提取实体车辆，极大地简化了购车周期，提高业务效率和用户体验。</w:t>
      </w:r>
    </w:p>
    <w:p w:rsidR="001462A1" w:rsidRPr="001462A1" w:rsidRDefault="001462A1" w:rsidP="001462A1">
      <w:pPr>
        <w:ind w:firstLineChars="200" w:firstLine="560"/>
        <w:rPr>
          <w:rFonts w:ascii="黑体" w:eastAsia="黑体" w:hAnsi="黑体"/>
          <w:kern w:val="0"/>
          <w:sz w:val="28"/>
          <w:szCs w:val="28"/>
        </w:rPr>
      </w:pPr>
      <w:r>
        <w:rPr>
          <w:rFonts w:ascii="黑体" w:eastAsia="黑体" w:hAnsi="黑体" w:hint="eastAsia"/>
          <w:kern w:val="0"/>
          <w:sz w:val="28"/>
          <w:szCs w:val="28"/>
        </w:rPr>
        <w:t>3</w:t>
      </w:r>
      <w:r w:rsidRPr="00005AD7">
        <w:rPr>
          <w:rFonts w:ascii="黑体" w:eastAsia="黑体" w:hAnsi="黑体" w:hint="eastAsia"/>
          <w:kern w:val="0"/>
          <w:sz w:val="28"/>
          <w:szCs w:val="28"/>
        </w:rPr>
        <w:t>.</w:t>
      </w:r>
      <w:r w:rsidR="0019598F" w:rsidRPr="001462A1">
        <w:rPr>
          <w:rFonts w:ascii="黑体" w:eastAsia="黑体" w:hAnsi="黑体" w:hint="eastAsia"/>
          <w:kern w:val="0"/>
          <w:sz w:val="28"/>
          <w:szCs w:val="28"/>
        </w:rPr>
        <w:t>线上服务平台。</w:t>
      </w:r>
    </w:p>
    <w:p w:rsidR="0019598F" w:rsidRPr="001462A1" w:rsidRDefault="0019598F" w:rsidP="001462A1">
      <w:pPr>
        <w:ind w:firstLineChars="200" w:firstLine="560"/>
        <w:rPr>
          <w:rFonts w:asciiTheme="minorEastAsia" w:eastAsiaTheme="minorEastAsia" w:hAnsiTheme="minorEastAsia" w:cs="宋体"/>
          <w:sz w:val="28"/>
          <w:szCs w:val="28"/>
        </w:rPr>
      </w:pPr>
      <w:r w:rsidRPr="001462A1">
        <w:rPr>
          <w:rFonts w:asciiTheme="minorEastAsia" w:eastAsiaTheme="minorEastAsia" w:hAnsiTheme="minorEastAsia" w:cs="宋体" w:hint="eastAsia"/>
          <w:sz w:val="28"/>
          <w:szCs w:val="28"/>
        </w:rPr>
        <w:t>该部分主要是为第三</w:t>
      </w:r>
      <w:proofErr w:type="gramStart"/>
      <w:r w:rsidRPr="001462A1">
        <w:rPr>
          <w:rFonts w:asciiTheme="minorEastAsia" w:eastAsiaTheme="minorEastAsia" w:hAnsiTheme="minorEastAsia" w:cs="宋体" w:hint="eastAsia"/>
          <w:sz w:val="28"/>
          <w:szCs w:val="28"/>
        </w:rPr>
        <w:t>方服务</w:t>
      </w:r>
      <w:proofErr w:type="gramEnd"/>
      <w:r w:rsidRPr="001462A1">
        <w:rPr>
          <w:rFonts w:asciiTheme="minorEastAsia" w:eastAsiaTheme="minorEastAsia" w:hAnsiTheme="minorEastAsia" w:cs="宋体" w:hint="eastAsia"/>
          <w:sz w:val="28"/>
          <w:szCs w:val="28"/>
        </w:rPr>
        <w:t>介入而搭建的互联网平台，能够提供信用等级评估、二手车残值评估、融资、纠纷处理等。并可基于线上服务平台加强对数据信息、基础设施的共享，进而节约经营成本。同时也可对各大厂商、经销商以及二手车商等实施统一管理，目的是进一步规范经营。与线上交易平台相互配合，以此构建互联网汽车融资租赁业务发展战略框架。</w:t>
      </w:r>
    </w:p>
    <w:p w:rsidR="0019598F" w:rsidRPr="00B26F14" w:rsidRDefault="00B26F14" w:rsidP="00B26F14">
      <w:pPr>
        <w:ind w:firstLineChars="200" w:firstLine="602"/>
        <w:rPr>
          <w:rFonts w:ascii="宋体" w:hAnsi="宋体"/>
          <w:b/>
          <w:color w:val="C00000"/>
          <w:kern w:val="0"/>
          <w:sz w:val="30"/>
          <w:szCs w:val="30"/>
        </w:rPr>
      </w:pPr>
      <w:r w:rsidRPr="00AE5F7D">
        <w:rPr>
          <w:rFonts w:ascii="宋体" w:hAnsi="宋体" w:hint="eastAsia"/>
          <w:b/>
          <w:color w:val="C00000"/>
          <w:kern w:val="0"/>
          <w:sz w:val="30"/>
          <w:szCs w:val="30"/>
        </w:rPr>
        <w:t>（二）</w:t>
      </w:r>
      <w:r w:rsidR="0019598F" w:rsidRPr="00B26F14">
        <w:rPr>
          <w:rFonts w:ascii="宋体" w:hAnsi="宋体" w:hint="eastAsia"/>
          <w:b/>
          <w:color w:val="C00000"/>
          <w:kern w:val="0"/>
          <w:sz w:val="30"/>
          <w:szCs w:val="30"/>
        </w:rPr>
        <w:t>汽车</w:t>
      </w:r>
      <w:proofErr w:type="gramStart"/>
      <w:r w:rsidR="0019598F" w:rsidRPr="00B26F14">
        <w:rPr>
          <w:rFonts w:ascii="宋体" w:hAnsi="宋体" w:hint="eastAsia"/>
          <w:b/>
          <w:color w:val="C00000"/>
          <w:kern w:val="0"/>
          <w:sz w:val="30"/>
          <w:szCs w:val="30"/>
        </w:rPr>
        <w:t>融资租赁获客方式</w:t>
      </w:r>
      <w:proofErr w:type="gramEnd"/>
    </w:p>
    <w:p w:rsidR="0019598F" w:rsidRPr="001462A1" w:rsidRDefault="0019598F" w:rsidP="001462A1">
      <w:pPr>
        <w:ind w:firstLineChars="200" w:firstLine="560"/>
        <w:rPr>
          <w:rFonts w:asciiTheme="minorEastAsia" w:eastAsiaTheme="minorEastAsia" w:hAnsiTheme="minorEastAsia" w:cs="宋体"/>
          <w:sz w:val="28"/>
          <w:szCs w:val="28"/>
        </w:rPr>
      </w:pPr>
      <w:r w:rsidRPr="001462A1">
        <w:rPr>
          <w:rFonts w:asciiTheme="minorEastAsia" w:eastAsiaTheme="minorEastAsia" w:hAnsiTheme="minorEastAsia" w:cs="宋体" w:hint="eastAsia"/>
          <w:sz w:val="28"/>
          <w:szCs w:val="28"/>
        </w:rPr>
        <w:t>在互联网背景下，汽车融资租赁</w:t>
      </w:r>
      <w:proofErr w:type="gramStart"/>
      <w:r w:rsidRPr="001462A1">
        <w:rPr>
          <w:rFonts w:asciiTheme="minorEastAsia" w:eastAsiaTheme="minorEastAsia" w:hAnsiTheme="minorEastAsia" w:cs="宋体" w:hint="eastAsia"/>
          <w:sz w:val="28"/>
          <w:szCs w:val="28"/>
        </w:rPr>
        <w:t>获客方式</w:t>
      </w:r>
      <w:proofErr w:type="gramEnd"/>
      <w:r w:rsidRPr="001462A1">
        <w:rPr>
          <w:rFonts w:asciiTheme="minorEastAsia" w:eastAsiaTheme="minorEastAsia" w:hAnsiTheme="minorEastAsia" w:cs="宋体" w:hint="eastAsia"/>
          <w:sz w:val="28"/>
          <w:szCs w:val="28"/>
        </w:rPr>
        <w:t>主要是通过互联网端。通过合理布局</w:t>
      </w:r>
      <w:proofErr w:type="gramStart"/>
      <w:r w:rsidRPr="001462A1">
        <w:rPr>
          <w:rFonts w:asciiTheme="minorEastAsia" w:eastAsiaTheme="minorEastAsia" w:hAnsiTheme="minorEastAsia" w:cs="宋体" w:hint="eastAsia"/>
          <w:sz w:val="28"/>
          <w:szCs w:val="28"/>
        </w:rPr>
        <w:t>提升获客能力</w:t>
      </w:r>
      <w:proofErr w:type="gramEnd"/>
      <w:r w:rsidRPr="001462A1">
        <w:rPr>
          <w:rFonts w:asciiTheme="minorEastAsia" w:eastAsiaTheme="minorEastAsia" w:hAnsiTheme="minorEastAsia" w:cs="宋体" w:hint="eastAsia"/>
          <w:sz w:val="28"/>
          <w:szCs w:val="28"/>
        </w:rPr>
        <w:t>，比如借助互联网平台引流，或者是</w:t>
      </w:r>
      <w:proofErr w:type="gramStart"/>
      <w:r w:rsidRPr="001462A1">
        <w:rPr>
          <w:rFonts w:asciiTheme="minorEastAsia" w:eastAsiaTheme="minorEastAsia" w:hAnsiTheme="minorEastAsia" w:cs="宋体" w:hint="eastAsia"/>
          <w:sz w:val="28"/>
          <w:szCs w:val="28"/>
        </w:rPr>
        <w:t>搭建线</w:t>
      </w:r>
      <w:proofErr w:type="gramEnd"/>
      <w:r w:rsidRPr="001462A1">
        <w:rPr>
          <w:rFonts w:asciiTheme="minorEastAsia" w:eastAsiaTheme="minorEastAsia" w:hAnsiTheme="minorEastAsia" w:cs="宋体" w:hint="eastAsia"/>
          <w:sz w:val="28"/>
          <w:szCs w:val="28"/>
        </w:rPr>
        <w:t>上交易平台等。其中电商平台引流则是加强与互联网头部企业的合作，利用电商平台吸引消费者，通过平台引导进行线上交易。该方式的优势则是以低成本打通渠道资源，提高产品竞争力，实现双赢。自建线上交易平台则是筑牢</w:t>
      </w:r>
      <w:proofErr w:type="gramStart"/>
      <w:r w:rsidRPr="001462A1">
        <w:rPr>
          <w:rFonts w:asciiTheme="minorEastAsia" w:eastAsiaTheme="minorEastAsia" w:hAnsiTheme="minorEastAsia" w:cs="宋体" w:hint="eastAsia"/>
          <w:sz w:val="28"/>
          <w:szCs w:val="28"/>
        </w:rPr>
        <w:t>自主获客业务</w:t>
      </w:r>
      <w:proofErr w:type="gramEnd"/>
      <w:r w:rsidRPr="001462A1">
        <w:rPr>
          <w:rFonts w:asciiTheme="minorEastAsia" w:eastAsiaTheme="minorEastAsia" w:hAnsiTheme="minorEastAsia" w:cs="宋体" w:hint="eastAsia"/>
          <w:sz w:val="28"/>
          <w:szCs w:val="28"/>
        </w:rPr>
        <w:t>护城河，但其对企业自身的要求较高，不仅需要投入大量的技术和资金，还需在整个产业链中占有主导地位。</w:t>
      </w:r>
    </w:p>
    <w:p w:rsidR="0019598F" w:rsidRPr="00B26F14" w:rsidRDefault="00B26F14" w:rsidP="00B26F14">
      <w:pPr>
        <w:ind w:firstLineChars="200" w:firstLine="602"/>
        <w:rPr>
          <w:rFonts w:ascii="宋体" w:hAnsi="宋体"/>
          <w:b/>
          <w:color w:val="C00000"/>
          <w:kern w:val="0"/>
          <w:sz w:val="30"/>
          <w:szCs w:val="30"/>
        </w:rPr>
      </w:pPr>
      <w:r w:rsidRPr="00AE5F7D">
        <w:rPr>
          <w:rFonts w:ascii="宋体" w:hAnsi="宋体" w:hint="eastAsia"/>
          <w:b/>
          <w:color w:val="C00000"/>
          <w:kern w:val="0"/>
          <w:sz w:val="30"/>
          <w:szCs w:val="30"/>
        </w:rPr>
        <w:t>（三）</w:t>
      </w:r>
      <w:r w:rsidR="0019598F" w:rsidRPr="00B26F14">
        <w:rPr>
          <w:rFonts w:ascii="宋体" w:hAnsi="宋体" w:hint="eastAsia"/>
          <w:b/>
          <w:color w:val="C00000"/>
          <w:kern w:val="0"/>
          <w:sz w:val="30"/>
          <w:szCs w:val="30"/>
        </w:rPr>
        <w:t>汽车融资租赁风险控制</w:t>
      </w:r>
    </w:p>
    <w:p w:rsidR="006A46B5" w:rsidRPr="001462A1" w:rsidRDefault="0019598F" w:rsidP="001462A1">
      <w:pPr>
        <w:ind w:firstLineChars="200" w:firstLine="560"/>
        <w:rPr>
          <w:rFonts w:asciiTheme="minorEastAsia" w:eastAsiaTheme="minorEastAsia" w:hAnsiTheme="minorEastAsia" w:cs="宋体"/>
          <w:sz w:val="28"/>
          <w:szCs w:val="28"/>
        </w:rPr>
      </w:pPr>
      <w:r w:rsidRPr="001462A1">
        <w:rPr>
          <w:rFonts w:asciiTheme="minorEastAsia" w:eastAsiaTheme="minorEastAsia" w:hAnsiTheme="minorEastAsia" w:cs="宋体" w:hint="eastAsia"/>
          <w:sz w:val="28"/>
          <w:szCs w:val="28"/>
        </w:rPr>
        <w:t>针对汽车融资租赁市场的发展实际，在互联网模式下主要注重前、中、后期的风险控制。</w:t>
      </w:r>
    </w:p>
    <w:p w:rsidR="006A46B5" w:rsidRPr="006A46B5" w:rsidRDefault="006A46B5" w:rsidP="006A46B5">
      <w:pPr>
        <w:ind w:firstLineChars="200" w:firstLine="560"/>
        <w:rPr>
          <w:rFonts w:ascii="黑体" w:eastAsia="黑体" w:hAnsi="黑体"/>
          <w:kern w:val="0"/>
          <w:sz w:val="28"/>
          <w:szCs w:val="28"/>
        </w:rPr>
      </w:pPr>
      <w:r w:rsidRPr="00005AD7">
        <w:rPr>
          <w:rFonts w:ascii="黑体" w:eastAsia="黑体" w:hAnsi="黑体" w:hint="eastAsia"/>
          <w:kern w:val="0"/>
          <w:sz w:val="28"/>
          <w:szCs w:val="28"/>
        </w:rPr>
        <w:t>1.</w:t>
      </w:r>
      <w:r w:rsidRPr="006A46B5">
        <w:rPr>
          <w:rFonts w:ascii="黑体" w:eastAsia="黑体" w:hAnsi="黑体" w:hint="eastAsia"/>
          <w:kern w:val="0"/>
          <w:sz w:val="28"/>
          <w:szCs w:val="28"/>
        </w:rPr>
        <w:t>前期阶段</w:t>
      </w:r>
    </w:p>
    <w:p w:rsidR="006A46B5" w:rsidRPr="001462A1" w:rsidRDefault="0019598F" w:rsidP="001462A1">
      <w:pPr>
        <w:ind w:firstLineChars="200" w:firstLine="560"/>
        <w:rPr>
          <w:rFonts w:asciiTheme="minorEastAsia" w:eastAsiaTheme="minorEastAsia" w:hAnsiTheme="minorEastAsia" w:cs="宋体"/>
          <w:sz w:val="28"/>
          <w:szCs w:val="28"/>
        </w:rPr>
      </w:pPr>
      <w:r w:rsidRPr="001462A1">
        <w:rPr>
          <w:rFonts w:asciiTheme="minorEastAsia" w:eastAsiaTheme="minorEastAsia" w:hAnsiTheme="minorEastAsia" w:cs="宋体" w:hint="eastAsia"/>
          <w:sz w:val="28"/>
          <w:szCs w:val="28"/>
        </w:rPr>
        <w:lastRenderedPageBreak/>
        <w:t>前期阶段，以防范信用风险以及欺诈风险为主。即是将风险管理前移到汽车采购环节，根据消费者的浏览记录等网上行为数据，通过数据挖掘分析其地理位置、消费特点等，实现非财务数据风险管理。</w:t>
      </w:r>
    </w:p>
    <w:p w:rsidR="006A46B5" w:rsidRPr="006A46B5" w:rsidRDefault="006A46B5" w:rsidP="006A46B5">
      <w:pPr>
        <w:ind w:firstLineChars="200" w:firstLine="560"/>
        <w:rPr>
          <w:rFonts w:ascii="黑体" w:eastAsia="黑体" w:hAnsi="黑体"/>
          <w:kern w:val="0"/>
          <w:sz w:val="28"/>
          <w:szCs w:val="28"/>
        </w:rPr>
      </w:pPr>
      <w:r>
        <w:rPr>
          <w:rFonts w:ascii="黑体" w:eastAsia="黑体" w:hAnsi="黑体" w:hint="eastAsia"/>
          <w:kern w:val="0"/>
          <w:sz w:val="28"/>
          <w:szCs w:val="28"/>
        </w:rPr>
        <w:t>2</w:t>
      </w:r>
      <w:r w:rsidRPr="00005AD7">
        <w:rPr>
          <w:rFonts w:ascii="黑体" w:eastAsia="黑体" w:hAnsi="黑体" w:hint="eastAsia"/>
          <w:kern w:val="0"/>
          <w:sz w:val="28"/>
          <w:szCs w:val="28"/>
        </w:rPr>
        <w:t>.</w:t>
      </w:r>
      <w:r w:rsidRPr="006A46B5">
        <w:rPr>
          <w:rFonts w:ascii="黑体" w:eastAsia="黑体" w:hAnsi="黑体" w:hint="eastAsia"/>
          <w:kern w:val="0"/>
          <w:sz w:val="28"/>
          <w:szCs w:val="28"/>
        </w:rPr>
        <w:t>中期阶段</w:t>
      </w:r>
    </w:p>
    <w:p w:rsidR="006A46B5" w:rsidRPr="001462A1" w:rsidRDefault="0019598F" w:rsidP="001462A1">
      <w:pPr>
        <w:ind w:firstLineChars="200" w:firstLine="560"/>
        <w:rPr>
          <w:rFonts w:asciiTheme="minorEastAsia" w:eastAsiaTheme="minorEastAsia" w:hAnsiTheme="minorEastAsia" w:cs="宋体"/>
          <w:sz w:val="28"/>
          <w:szCs w:val="28"/>
        </w:rPr>
      </w:pPr>
      <w:r w:rsidRPr="001462A1">
        <w:rPr>
          <w:rFonts w:asciiTheme="minorEastAsia" w:eastAsiaTheme="minorEastAsia" w:hAnsiTheme="minorEastAsia" w:cs="宋体" w:hint="eastAsia"/>
          <w:sz w:val="28"/>
          <w:szCs w:val="28"/>
        </w:rPr>
        <w:t>中期阶段的风险控制则是预防承租人的违约风险。一般是在融资租赁合同中界定违约现象，设置违约处置条款。并定期回访承租人，了解车辆使用情况。根据车内GPS定位，掌握车辆是否在合理范围内使用。此外需建立催收系统，确保按时回收租金。</w:t>
      </w:r>
    </w:p>
    <w:p w:rsidR="006A46B5" w:rsidRPr="006A46B5" w:rsidRDefault="006A46B5" w:rsidP="006A46B5">
      <w:pPr>
        <w:ind w:firstLineChars="200" w:firstLine="560"/>
        <w:rPr>
          <w:rFonts w:ascii="黑体" w:eastAsia="黑体" w:hAnsi="黑体"/>
          <w:kern w:val="0"/>
          <w:sz w:val="28"/>
          <w:szCs w:val="28"/>
        </w:rPr>
      </w:pPr>
      <w:r>
        <w:rPr>
          <w:rFonts w:ascii="黑体" w:eastAsia="黑体" w:hAnsi="黑体" w:hint="eastAsia"/>
          <w:kern w:val="0"/>
          <w:sz w:val="28"/>
          <w:szCs w:val="28"/>
        </w:rPr>
        <w:t>3</w:t>
      </w:r>
      <w:r w:rsidRPr="00005AD7">
        <w:rPr>
          <w:rFonts w:ascii="黑体" w:eastAsia="黑体" w:hAnsi="黑体" w:hint="eastAsia"/>
          <w:kern w:val="0"/>
          <w:sz w:val="28"/>
          <w:szCs w:val="28"/>
        </w:rPr>
        <w:t>.</w:t>
      </w:r>
      <w:r w:rsidRPr="006A46B5">
        <w:rPr>
          <w:rFonts w:ascii="黑体" w:eastAsia="黑体" w:hAnsi="黑体" w:hint="eastAsia"/>
          <w:kern w:val="0"/>
          <w:sz w:val="28"/>
          <w:szCs w:val="28"/>
        </w:rPr>
        <w:t>后期阶段</w:t>
      </w:r>
    </w:p>
    <w:p w:rsidR="0019598F" w:rsidRPr="001462A1" w:rsidRDefault="0019598F" w:rsidP="001462A1">
      <w:pPr>
        <w:ind w:firstLineChars="200" w:firstLine="560"/>
        <w:rPr>
          <w:rFonts w:asciiTheme="minorEastAsia" w:eastAsiaTheme="minorEastAsia" w:hAnsiTheme="minorEastAsia" w:cs="宋体"/>
          <w:sz w:val="28"/>
          <w:szCs w:val="28"/>
        </w:rPr>
      </w:pPr>
      <w:r w:rsidRPr="001462A1">
        <w:rPr>
          <w:rFonts w:asciiTheme="minorEastAsia" w:eastAsiaTheme="minorEastAsia" w:hAnsiTheme="minorEastAsia" w:cs="宋体" w:hint="eastAsia"/>
          <w:sz w:val="28"/>
          <w:szCs w:val="28"/>
        </w:rPr>
        <w:t>在后期阶段，出租人主要面临二手车处置风险。由于当前我国二手车残值评估体系尚不健全，大多存在价值低估的情况。为控制风险，出租人可在融资租赁合同中增加保障汽车残值的条款，鼓励承租人优先留置汽车，并强化与第三</w:t>
      </w:r>
      <w:proofErr w:type="gramStart"/>
      <w:r w:rsidRPr="001462A1">
        <w:rPr>
          <w:rFonts w:asciiTheme="minorEastAsia" w:eastAsiaTheme="minorEastAsia" w:hAnsiTheme="minorEastAsia" w:cs="宋体" w:hint="eastAsia"/>
          <w:sz w:val="28"/>
          <w:szCs w:val="28"/>
        </w:rPr>
        <w:t>方车辆</w:t>
      </w:r>
      <w:proofErr w:type="gramEnd"/>
      <w:r w:rsidRPr="001462A1">
        <w:rPr>
          <w:rFonts w:asciiTheme="minorEastAsia" w:eastAsiaTheme="minorEastAsia" w:hAnsiTheme="minorEastAsia" w:cs="宋体" w:hint="eastAsia"/>
          <w:sz w:val="28"/>
          <w:szCs w:val="28"/>
        </w:rPr>
        <w:t>残值评估机构的合作，最大限度降低风险。</w:t>
      </w:r>
    </w:p>
    <w:p w:rsidR="0019598F" w:rsidRPr="00B26F14" w:rsidRDefault="00B26F14" w:rsidP="00B26F14">
      <w:pPr>
        <w:ind w:firstLineChars="200" w:firstLine="602"/>
        <w:rPr>
          <w:rFonts w:ascii="宋体" w:hAnsi="宋体"/>
          <w:b/>
          <w:color w:val="C00000"/>
          <w:kern w:val="0"/>
          <w:sz w:val="30"/>
          <w:szCs w:val="30"/>
        </w:rPr>
      </w:pPr>
      <w:r w:rsidRPr="00AE5F7D">
        <w:rPr>
          <w:rFonts w:ascii="宋体" w:hAnsi="宋体" w:hint="eastAsia"/>
          <w:b/>
          <w:color w:val="C00000"/>
          <w:kern w:val="0"/>
          <w:sz w:val="30"/>
          <w:szCs w:val="30"/>
        </w:rPr>
        <w:t>（四）</w:t>
      </w:r>
      <w:r w:rsidR="0019598F" w:rsidRPr="00B26F14">
        <w:rPr>
          <w:rFonts w:ascii="宋体" w:hAnsi="宋体" w:hint="eastAsia"/>
          <w:b/>
          <w:color w:val="C00000"/>
          <w:kern w:val="0"/>
          <w:sz w:val="30"/>
          <w:szCs w:val="30"/>
        </w:rPr>
        <w:t>汽车融资租赁盈利模式</w:t>
      </w:r>
    </w:p>
    <w:p w:rsidR="0019598F" w:rsidRPr="001462A1" w:rsidRDefault="0019598F" w:rsidP="001462A1">
      <w:pPr>
        <w:ind w:firstLineChars="200" w:firstLine="560"/>
        <w:rPr>
          <w:rFonts w:asciiTheme="minorEastAsia" w:eastAsiaTheme="minorEastAsia" w:hAnsiTheme="minorEastAsia" w:cs="宋体"/>
          <w:sz w:val="28"/>
          <w:szCs w:val="28"/>
        </w:rPr>
      </w:pPr>
      <w:r w:rsidRPr="001462A1">
        <w:rPr>
          <w:rFonts w:asciiTheme="minorEastAsia" w:eastAsiaTheme="minorEastAsia" w:hAnsiTheme="minorEastAsia" w:cs="宋体" w:hint="eastAsia"/>
          <w:sz w:val="28"/>
          <w:szCs w:val="28"/>
        </w:rPr>
        <w:t>汽车融资租赁业务的盈利渠道主要来源于四个方面。</w:t>
      </w:r>
    </w:p>
    <w:p w:rsidR="006A46B5" w:rsidRPr="006A46B5" w:rsidRDefault="006A46B5" w:rsidP="006A46B5">
      <w:pPr>
        <w:ind w:firstLineChars="200" w:firstLine="560"/>
        <w:rPr>
          <w:rFonts w:ascii="黑体" w:eastAsia="黑体" w:hAnsi="黑体"/>
          <w:kern w:val="0"/>
          <w:sz w:val="28"/>
          <w:szCs w:val="28"/>
        </w:rPr>
      </w:pPr>
      <w:r w:rsidRPr="00005AD7">
        <w:rPr>
          <w:rFonts w:ascii="黑体" w:eastAsia="黑体" w:hAnsi="黑体" w:hint="eastAsia"/>
          <w:kern w:val="0"/>
          <w:sz w:val="28"/>
          <w:szCs w:val="28"/>
        </w:rPr>
        <w:t>1.</w:t>
      </w:r>
      <w:r w:rsidR="0019598F" w:rsidRPr="006A46B5">
        <w:rPr>
          <w:rFonts w:ascii="黑体" w:eastAsia="黑体" w:hAnsi="黑体" w:hint="eastAsia"/>
          <w:kern w:val="0"/>
          <w:sz w:val="28"/>
          <w:szCs w:val="28"/>
        </w:rPr>
        <w:t>车辆买卖收益。</w:t>
      </w:r>
    </w:p>
    <w:p w:rsidR="0019598F" w:rsidRPr="001462A1" w:rsidRDefault="0019598F" w:rsidP="001462A1">
      <w:pPr>
        <w:ind w:firstLineChars="200" w:firstLine="560"/>
        <w:rPr>
          <w:rFonts w:asciiTheme="minorEastAsia" w:eastAsiaTheme="minorEastAsia" w:hAnsiTheme="minorEastAsia" w:cs="宋体"/>
          <w:sz w:val="28"/>
          <w:szCs w:val="28"/>
        </w:rPr>
      </w:pPr>
      <w:r w:rsidRPr="001462A1">
        <w:rPr>
          <w:rFonts w:asciiTheme="minorEastAsia" w:eastAsiaTheme="minorEastAsia" w:hAnsiTheme="minorEastAsia" w:cs="宋体" w:hint="eastAsia"/>
          <w:sz w:val="28"/>
          <w:szCs w:val="28"/>
        </w:rPr>
        <w:t>在汽车融资租赁交易环节，出租人直接向汽车经销商采购车辆，在集中采购、统一配送的形式下，有助于大幅节约采购成本。同时在批量采购条件下，出租人能够以相对较低的方式获得车辆，再按照指导价进行出租，以此赚取差值。</w:t>
      </w:r>
    </w:p>
    <w:p w:rsidR="006A46B5" w:rsidRPr="006A46B5" w:rsidRDefault="006A46B5" w:rsidP="006A46B5">
      <w:pPr>
        <w:ind w:firstLineChars="200" w:firstLine="560"/>
        <w:rPr>
          <w:rFonts w:ascii="黑体" w:eastAsia="黑体" w:hAnsi="黑体"/>
          <w:kern w:val="0"/>
          <w:sz w:val="28"/>
          <w:szCs w:val="28"/>
        </w:rPr>
      </w:pPr>
      <w:r>
        <w:rPr>
          <w:rFonts w:ascii="黑体" w:eastAsia="黑体" w:hAnsi="黑体" w:hint="eastAsia"/>
          <w:kern w:val="0"/>
          <w:sz w:val="28"/>
          <w:szCs w:val="28"/>
        </w:rPr>
        <w:t>2</w:t>
      </w:r>
      <w:r w:rsidRPr="00005AD7">
        <w:rPr>
          <w:rFonts w:ascii="黑体" w:eastAsia="黑体" w:hAnsi="黑体" w:hint="eastAsia"/>
          <w:kern w:val="0"/>
          <w:sz w:val="28"/>
          <w:szCs w:val="28"/>
        </w:rPr>
        <w:t>.</w:t>
      </w:r>
      <w:r w:rsidR="0019598F" w:rsidRPr="006A46B5">
        <w:rPr>
          <w:rFonts w:ascii="黑体" w:eastAsia="黑体" w:hAnsi="黑体" w:hint="eastAsia"/>
          <w:kern w:val="0"/>
          <w:sz w:val="28"/>
          <w:szCs w:val="28"/>
        </w:rPr>
        <w:t>汽车融资租赁业务收益</w:t>
      </w:r>
    </w:p>
    <w:p w:rsidR="0019598F" w:rsidRPr="001462A1" w:rsidRDefault="0019598F" w:rsidP="001462A1">
      <w:pPr>
        <w:ind w:firstLineChars="200" w:firstLine="560"/>
        <w:rPr>
          <w:rFonts w:asciiTheme="minorEastAsia" w:eastAsiaTheme="minorEastAsia" w:hAnsiTheme="minorEastAsia" w:cs="宋体"/>
          <w:sz w:val="28"/>
          <w:szCs w:val="28"/>
        </w:rPr>
      </w:pPr>
      <w:r w:rsidRPr="001462A1">
        <w:rPr>
          <w:rFonts w:asciiTheme="minorEastAsia" w:eastAsiaTheme="minorEastAsia" w:hAnsiTheme="minorEastAsia" w:cs="宋体" w:hint="eastAsia"/>
          <w:sz w:val="28"/>
          <w:szCs w:val="28"/>
        </w:rPr>
        <w:lastRenderedPageBreak/>
        <w:t>即是其本身的金融服务收益。承租人按照融资租赁合同中的约定金额按期支付租车租金。租赁期满后，承租人向出租人支付尾款可选择留置汽车。这一过程中出租人所获得的融资租赁业务收益，主要来自收回的租金金额与车辆价格的差值。</w:t>
      </w:r>
    </w:p>
    <w:p w:rsidR="006A46B5" w:rsidRPr="006A46B5" w:rsidRDefault="006A46B5" w:rsidP="006A46B5">
      <w:pPr>
        <w:ind w:firstLineChars="200" w:firstLine="560"/>
        <w:rPr>
          <w:rFonts w:ascii="黑体" w:eastAsia="黑体" w:hAnsi="黑体"/>
          <w:kern w:val="0"/>
          <w:sz w:val="28"/>
          <w:szCs w:val="28"/>
        </w:rPr>
      </w:pPr>
      <w:r>
        <w:rPr>
          <w:rFonts w:ascii="黑体" w:eastAsia="黑体" w:hAnsi="黑体" w:hint="eastAsia"/>
          <w:kern w:val="0"/>
          <w:sz w:val="28"/>
          <w:szCs w:val="28"/>
        </w:rPr>
        <w:t>3</w:t>
      </w:r>
      <w:r w:rsidRPr="00005AD7">
        <w:rPr>
          <w:rFonts w:ascii="黑体" w:eastAsia="黑体" w:hAnsi="黑体" w:hint="eastAsia"/>
          <w:kern w:val="0"/>
          <w:sz w:val="28"/>
          <w:szCs w:val="28"/>
        </w:rPr>
        <w:t>.</w:t>
      </w:r>
      <w:r w:rsidR="0019598F" w:rsidRPr="006A46B5">
        <w:rPr>
          <w:rFonts w:ascii="黑体" w:eastAsia="黑体" w:hAnsi="黑体" w:hint="eastAsia"/>
          <w:kern w:val="0"/>
          <w:sz w:val="28"/>
          <w:szCs w:val="28"/>
        </w:rPr>
        <w:t>二手车处置收益。</w:t>
      </w:r>
    </w:p>
    <w:p w:rsidR="0019598F" w:rsidRPr="001462A1" w:rsidRDefault="0019598F" w:rsidP="001462A1">
      <w:pPr>
        <w:ind w:firstLineChars="200" w:firstLine="560"/>
        <w:rPr>
          <w:rFonts w:asciiTheme="minorEastAsia" w:eastAsiaTheme="minorEastAsia" w:hAnsiTheme="minorEastAsia" w:cs="宋体"/>
          <w:sz w:val="28"/>
          <w:szCs w:val="28"/>
        </w:rPr>
      </w:pPr>
      <w:r w:rsidRPr="001462A1">
        <w:rPr>
          <w:rFonts w:asciiTheme="minorEastAsia" w:eastAsiaTheme="minorEastAsia" w:hAnsiTheme="minorEastAsia" w:cs="宋体" w:hint="eastAsia"/>
          <w:sz w:val="28"/>
          <w:szCs w:val="28"/>
        </w:rPr>
        <w:t>当融资租赁期满后，如果承租人退租，出租人可将租赁车辆按照市场价格转入到二手车市场处置。当汽车折旧价格高于车辆残值，则可获得收益。为有效实现盈利目标，出租人需在融资租赁合同中增加贬值控制条款。</w:t>
      </w:r>
    </w:p>
    <w:p w:rsidR="006A46B5" w:rsidRPr="006A46B5" w:rsidRDefault="006A46B5" w:rsidP="006A46B5">
      <w:pPr>
        <w:ind w:firstLineChars="200" w:firstLine="560"/>
        <w:rPr>
          <w:rFonts w:ascii="黑体" w:eastAsia="黑体" w:hAnsi="黑体"/>
          <w:kern w:val="0"/>
          <w:sz w:val="28"/>
          <w:szCs w:val="28"/>
        </w:rPr>
      </w:pPr>
      <w:r>
        <w:rPr>
          <w:rFonts w:ascii="黑体" w:eastAsia="黑体" w:hAnsi="黑体" w:hint="eastAsia"/>
          <w:kern w:val="0"/>
          <w:sz w:val="28"/>
          <w:szCs w:val="28"/>
        </w:rPr>
        <w:t>4</w:t>
      </w:r>
      <w:r w:rsidRPr="00005AD7">
        <w:rPr>
          <w:rFonts w:ascii="黑体" w:eastAsia="黑体" w:hAnsi="黑体" w:hint="eastAsia"/>
          <w:kern w:val="0"/>
          <w:sz w:val="28"/>
          <w:szCs w:val="28"/>
        </w:rPr>
        <w:t>.</w:t>
      </w:r>
      <w:r w:rsidR="0019598F" w:rsidRPr="006A46B5">
        <w:rPr>
          <w:rFonts w:ascii="黑体" w:eastAsia="黑体" w:hAnsi="黑体" w:hint="eastAsia"/>
          <w:kern w:val="0"/>
          <w:sz w:val="28"/>
          <w:szCs w:val="28"/>
        </w:rPr>
        <w:t>互联网融资租赁平台服务收益。</w:t>
      </w:r>
    </w:p>
    <w:p w:rsidR="0019598F" w:rsidRPr="001462A1" w:rsidRDefault="0019598F" w:rsidP="001462A1">
      <w:pPr>
        <w:ind w:firstLineChars="200" w:firstLine="560"/>
        <w:rPr>
          <w:rFonts w:asciiTheme="minorEastAsia" w:eastAsiaTheme="minorEastAsia" w:hAnsiTheme="minorEastAsia" w:cs="宋体"/>
          <w:sz w:val="28"/>
          <w:szCs w:val="28"/>
        </w:rPr>
      </w:pPr>
      <w:r w:rsidRPr="001462A1">
        <w:rPr>
          <w:rFonts w:asciiTheme="minorEastAsia" w:eastAsiaTheme="minorEastAsia" w:hAnsiTheme="minorEastAsia" w:cs="宋体" w:hint="eastAsia"/>
          <w:sz w:val="28"/>
          <w:szCs w:val="28"/>
        </w:rPr>
        <w:t>其主要来自交易平台的服务收益，比如对入驻平台的汽车厂商、经销商、金融机构、保险公司等收取会员费用、广告宣传费用等。线上服务平台产生的收益，包含在产业链中提供企业管理系统、营销管理系统、二手车残值评估等服务的手续费用等。</w:t>
      </w:r>
    </w:p>
    <w:p w:rsidR="00EE7C88" w:rsidRPr="002204E9" w:rsidRDefault="00EE7C88" w:rsidP="00EE7C88">
      <w:pPr>
        <w:rPr>
          <w:rFonts w:ascii="宋体" w:hAnsi="宋体"/>
          <w:color w:val="0070C0"/>
          <w:kern w:val="0"/>
          <w:sz w:val="28"/>
          <w:szCs w:val="28"/>
        </w:rPr>
      </w:pPr>
      <w:r>
        <w:rPr>
          <w:rFonts w:ascii="宋体" w:hAnsi="宋体" w:hint="eastAsia"/>
          <w:color w:val="0000FF"/>
          <w:kern w:val="0"/>
          <w:sz w:val="28"/>
          <w:szCs w:val="28"/>
        </w:rPr>
        <w:t>应用领域</w:t>
      </w:r>
      <w:r>
        <w:rPr>
          <w:rFonts w:ascii="宋体" w:hAnsi="宋体" w:hint="eastAsia"/>
          <w:color w:val="0000FF"/>
          <w:kern w:val="0"/>
          <w:sz w:val="28"/>
          <w:szCs w:val="28"/>
        </w:rPr>
        <w:tab/>
        <w:t>收益（亿）</w:t>
      </w:r>
      <w:r>
        <w:rPr>
          <w:rFonts w:ascii="宋体" w:hAnsi="宋体" w:hint="eastAsia"/>
          <w:color w:val="0000FF"/>
          <w:kern w:val="0"/>
          <w:sz w:val="28"/>
          <w:szCs w:val="28"/>
        </w:rPr>
        <w:tab/>
      </w:r>
      <w:r w:rsidRPr="00FB3394">
        <w:rPr>
          <w:rFonts w:ascii="宋体" w:hAnsi="宋体" w:hint="eastAsia"/>
          <w:color w:val="0000FF"/>
          <w:kern w:val="0"/>
          <w:sz w:val="28"/>
          <w:szCs w:val="28"/>
        </w:rPr>
        <w:t>所占比例</w:t>
      </w:r>
      <w:r>
        <w:rPr>
          <w:rFonts w:ascii="宋体" w:hAnsi="宋体" w:hint="eastAsia"/>
          <w:color w:val="0000FF"/>
          <w:kern w:val="0"/>
          <w:sz w:val="28"/>
          <w:szCs w:val="28"/>
        </w:rPr>
        <w:t>（</w:t>
      </w:r>
      <w:r w:rsidRPr="00FB3394">
        <w:rPr>
          <w:rFonts w:ascii="宋体" w:hAnsi="宋体" w:hint="eastAsia"/>
          <w:color w:val="0000FF"/>
          <w:kern w:val="0"/>
          <w:sz w:val="28"/>
          <w:szCs w:val="28"/>
        </w:rPr>
        <w:t>%</w:t>
      </w:r>
      <w:r>
        <w:rPr>
          <w:rFonts w:ascii="宋体" w:hAnsi="宋体" w:hint="eastAsia"/>
          <w:color w:val="0000FF"/>
          <w:kern w:val="0"/>
          <w:sz w:val="28"/>
          <w:szCs w:val="28"/>
        </w:rPr>
        <w:t>）</w:t>
      </w:r>
    </w:p>
    <w:p w:rsidR="00EE7C88" w:rsidRPr="002204E9" w:rsidRDefault="00EE7C88" w:rsidP="00EE7C88">
      <w:pPr>
        <w:rPr>
          <w:rFonts w:ascii="宋体" w:hAnsi="宋体"/>
          <w:color w:val="0000FF"/>
          <w:kern w:val="0"/>
          <w:sz w:val="28"/>
          <w:szCs w:val="28"/>
        </w:rPr>
      </w:pPr>
      <w:r w:rsidRPr="00EE7C88">
        <w:rPr>
          <w:rFonts w:ascii="宋体" w:hAnsi="宋体" w:hint="eastAsia"/>
          <w:color w:val="0000FF"/>
          <w:kern w:val="0"/>
          <w:sz w:val="28"/>
          <w:szCs w:val="28"/>
        </w:rPr>
        <w:t>汽车厂商</w:t>
      </w:r>
      <w:r>
        <w:rPr>
          <w:rFonts w:ascii="宋体" w:hAnsi="宋体" w:hint="eastAsia"/>
          <w:color w:val="0000FF"/>
          <w:kern w:val="0"/>
          <w:sz w:val="28"/>
          <w:szCs w:val="28"/>
        </w:rPr>
        <w:tab/>
        <w:t>2</w:t>
      </w:r>
      <w:r w:rsidRPr="002204E9">
        <w:rPr>
          <w:rFonts w:ascii="宋体" w:hAnsi="宋体" w:hint="eastAsia"/>
          <w:color w:val="0000FF"/>
          <w:kern w:val="0"/>
          <w:sz w:val="28"/>
          <w:szCs w:val="28"/>
        </w:rPr>
        <w:tab/>
      </w:r>
      <w:r>
        <w:rPr>
          <w:rFonts w:ascii="宋体" w:hAnsi="宋体" w:hint="eastAsia"/>
          <w:color w:val="0000FF"/>
          <w:kern w:val="0"/>
          <w:sz w:val="28"/>
          <w:szCs w:val="28"/>
        </w:rPr>
        <w:t>5.26</w:t>
      </w:r>
      <w:r w:rsidRPr="002204E9">
        <w:rPr>
          <w:rFonts w:ascii="宋体" w:hAnsi="宋体" w:hint="eastAsia"/>
          <w:color w:val="0000FF"/>
          <w:kern w:val="0"/>
          <w:sz w:val="28"/>
          <w:szCs w:val="28"/>
        </w:rPr>
        <w:t>%</w:t>
      </w:r>
    </w:p>
    <w:p w:rsidR="00EE7C88" w:rsidRPr="002204E9" w:rsidRDefault="00EE7C88" w:rsidP="00EE7C88">
      <w:pPr>
        <w:rPr>
          <w:rFonts w:ascii="宋体" w:hAnsi="宋体"/>
          <w:color w:val="0000FF"/>
          <w:kern w:val="0"/>
          <w:sz w:val="28"/>
          <w:szCs w:val="28"/>
        </w:rPr>
      </w:pPr>
      <w:r w:rsidRPr="00EE7C88">
        <w:rPr>
          <w:rFonts w:ascii="宋体" w:hAnsi="宋体" w:hint="eastAsia"/>
          <w:color w:val="0000FF"/>
          <w:kern w:val="0"/>
          <w:sz w:val="28"/>
          <w:szCs w:val="28"/>
        </w:rPr>
        <w:t>经销商</w:t>
      </w:r>
      <w:r>
        <w:rPr>
          <w:rFonts w:ascii="宋体" w:hAnsi="宋体" w:hint="eastAsia"/>
          <w:color w:val="0000FF"/>
          <w:kern w:val="0"/>
          <w:sz w:val="28"/>
          <w:szCs w:val="28"/>
        </w:rPr>
        <w:tab/>
      </w:r>
      <w:r w:rsidRPr="002204E9">
        <w:rPr>
          <w:rFonts w:ascii="宋体" w:hAnsi="宋体" w:hint="eastAsia"/>
          <w:color w:val="0000FF"/>
          <w:kern w:val="0"/>
          <w:sz w:val="28"/>
          <w:szCs w:val="28"/>
        </w:rPr>
        <w:t>4</w:t>
      </w:r>
      <w:r w:rsidRPr="002204E9">
        <w:rPr>
          <w:rFonts w:ascii="宋体" w:hAnsi="宋体" w:hint="eastAsia"/>
          <w:color w:val="0000FF"/>
          <w:kern w:val="0"/>
          <w:sz w:val="28"/>
          <w:szCs w:val="28"/>
        </w:rPr>
        <w:tab/>
        <w:t>10.5</w:t>
      </w:r>
      <w:r>
        <w:rPr>
          <w:rFonts w:ascii="宋体" w:hAnsi="宋体" w:hint="eastAsia"/>
          <w:color w:val="0000FF"/>
          <w:kern w:val="0"/>
          <w:sz w:val="28"/>
          <w:szCs w:val="28"/>
        </w:rPr>
        <w:t>3</w:t>
      </w:r>
      <w:r w:rsidRPr="002204E9">
        <w:rPr>
          <w:rFonts w:ascii="宋体" w:hAnsi="宋体" w:hint="eastAsia"/>
          <w:color w:val="0000FF"/>
          <w:kern w:val="0"/>
          <w:sz w:val="28"/>
          <w:szCs w:val="28"/>
        </w:rPr>
        <w:t>%</w:t>
      </w:r>
    </w:p>
    <w:p w:rsidR="00EE7C88" w:rsidRPr="002204E9" w:rsidRDefault="00EE7C88" w:rsidP="00EE7C88">
      <w:pPr>
        <w:rPr>
          <w:rFonts w:ascii="宋体" w:hAnsi="宋体"/>
          <w:color w:val="0000FF"/>
          <w:kern w:val="0"/>
          <w:sz w:val="28"/>
          <w:szCs w:val="28"/>
        </w:rPr>
      </w:pPr>
      <w:r w:rsidRPr="00EE7C88">
        <w:rPr>
          <w:rFonts w:ascii="宋体" w:hAnsi="宋体" w:hint="eastAsia"/>
          <w:color w:val="0000FF"/>
          <w:kern w:val="0"/>
          <w:sz w:val="28"/>
          <w:szCs w:val="28"/>
        </w:rPr>
        <w:t>金融机构</w:t>
      </w:r>
      <w:r>
        <w:rPr>
          <w:rFonts w:ascii="宋体" w:hAnsi="宋体" w:hint="eastAsia"/>
          <w:color w:val="0000FF"/>
          <w:kern w:val="0"/>
          <w:sz w:val="28"/>
          <w:szCs w:val="28"/>
        </w:rPr>
        <w:tab/>
      </w:r>
      <w:r w:rsidRPr="002204E9">
        <w:rPr>
          <w:rFonts w:ascii="宋体" w:hAnsi="宋体" w:hint="eastAsia"/>
          <w:color w:val="0000FF"/>
          <w:kern w:val="0"/>
          <w:sz w:val="28"/>
          <w:szCs w:val="28"/>
        </w:rPr>
        <w:t>29</w:t>
      </w:r>
      <w:r w:rsidRPr="002204E9">
        <w:rPr>
          <w:rFonts w:ascii="宋体" w:hAnsi="宋体" w:hint="eastAsia"/>
          <w:color w:val="0000FF"/>
          <w:kern w:val="0"/>
          <w:sz w:val="28"/>
          <w:szCs w:val="28"/>
        </w:rPr>
        <w:tab/>
        <w:t>76.3</w:t>
      </w:r>
      <w:r>
        <w:rPr>
          <w:rFonts w:ascii="宋体" w:hAnsi="宋体" w:hint="eastAsia"/>
          <w:color w:val="0000FF"/>
          <w:kern w:val="0"/>
          <w:sz w:val="28"/>
          <w:szCs w:val="28"/>
        </w:rPr>
        <w:t>2</w:t>
      </w:r>
      <w:r w:rsidRPr="002204E9">
        <w:rPr>
          <w:rFonts w:ascii="宋体" w:hAnsi="宋体" w:hint="eastAsia"/>
          <w:color w:val="0000FF"/>
          <w:kern w:val="0"/>
          <w:sz w:val="28"/>
          <w:szCs w:val="28"/>
        </w:rPr>
        <w:t>%</w:t>
      </w:r>
    </w:p>
    <w:p w:rsidR="00EE7C88" w:rsidRPr="002204E9" w:rsidRDefault="00EE7C88" w:rsidP="00EE7C88">
      <w:pPr>
        <w:rPr>
          <w:rFonts w:ascii="宋体" w:hAnsi="宋体"/>
          <w:color w:val="0000FF"/>
          <w:kern w:val="0"/>
          <w:sz w:val="28"/>
          <w:szCs w:val="28"/>
        </w:rPr>
      </w:pPr>
      <w:r w:rsidRPr="00EE7C88">
        <w:rPr>
          <w:rFonts w:ascii="宋体" w:hAnsi="宋体" w:hint="eastAsia"/>
          <w:color w:val="0000FF"/>
          <w:kern w:val="0"/>
          <w:sz w:val="28"/>
          <w:szCs w:val="28"/>
        </w:rPr>
        <w:t>保险公司</w:t>
      </w:r>
      <w:r>
        <w:rPr>
          <w:rFonts w:ascii="宋体" w:hAnsi="宋体" w:hint="eastAsia"/>
          <w:color w:val="0000FF"/>
          <w:kern w:val="0"/>
          <w:sz w:val="28"/>
          <w:szCs w:val="28"/>
        </w:rPr>
        <w:tab/>
      </w:r>
      <w:r w:rsidRPr="002204E9">
        <w:rPr>
          <w:rFonts w:ascii="宋体" w:hAnsi="宋体" w:hint="eastAsia"/>
          <w:color w:val="0000FF"/>
          <w:kern w:val="0"/>
          <w:sz w:val="28"/>
          <w:szCs w:val="28"/>
        </w:rPr>
        <w:t>1</w:t>
      </w:r>
      <w:r w:rsidRPr="002204E9">
        <w:rPr>
          <w:rFonts w:ascii="宋体" w:hAnsi="宋体" w:hint="eastAsia"/>
          <w:color w:val="0000FF"/>
          <w:kern w:val="0"/>
          <w:sz w:val="28"/>
          <w:szCs w:val="28"/>
        </w:rPr>
        <w:tab/>
        <w:t>2.6</w:t>
      </w:r>
      <w:r>
        <w:rPr>
          <w:rFonts w:ascii="宋体" w:hAnsi="宋体" w:hint="eastAsia"/>
          <w:color w:val="0000FF"/>
          <w:kern w:val="0"/>
          <w:sz w:val="28"/>
          <w:szCs w:val="28"/>
        </w:rPr>
        <w:t>3</w:t>
      </w:r>
      <w:r w:rsidRPr="002204E9">
        <w:rPr>
          <w:rFonts w:ascii="宋体" w:hAnsi="宋体" w:hint="eastAsia"/>
          <w:color w:val="0000FF"/>
          <w:kern w:val="0"/>
          <w:sz w:val="28"/>
          <w:szCs w:val="28"/>
        </w:rPr>
        <w:t>%</w:t>
      </w:r>
    </w:p>
    <w:p w:rsidR="00EE7C88" w:rsidRPr="0019598F" w:rsidRDefault="00EE7C88" w:rsidP="0019598F">
      <w:pPr>
        <w:rPr>
          <w:rFonts w:ascii="宋体" w:hAnsi="宋体"/>
          <w:kern w:val="0"/>
          <w:sz w:val="28"/>
          <w:szCs w:val="28"/>
        </w:rPr>
      </w:pPr>
      <w:r>
        <w:rPr>
          <w:rFonts w:ascii="宋体" w:hAnsi="宋体" w:hint="eastAsia"/>
          <w:color w:val="0000FF"/>
          <w:kern w:val="0"/>
          <w:sz w:val="28"/>
          <w:szCs w:val="28"/>
        </w:rPr>
        <w:t>车联网</w:t>
      </w:r>
      <w:r>
        <w:rPr>
          <w:rFonts w:ascii="宋体" w:hAnsi="宋体" w:hint="eastAsia"/>
          <w:color w:val="0000FF"/>
          <w:kern w:val="0"/>
          <w:sz w:val="28"/>
          <w:szCs w:val="28"/>
        </w:rPr>
        <w:tab/>
        <w:t>2</w:t>
      </w:r>
      <w:r w:rsidRPr="002204E9">
        <w:rPr>
          <w:rFonts w:ascii="宋体" w:hAnsi="宋体" w:hint="eastAsia"/>
          <w:color w:val="0000FF"/>
          <w:kern w:val="0"/>
          <w:sz w:val="28"/>
          <w:szCs w:val="28"/>
        </w:rPr>
        <w:tab/>
      </w:r>
      <w:r>
        <w:rPr>
          <w:rFonts w:ascii="宋体" w:hAnsi="宋体" w:hint="eastAsia"/>
          <w:color w:val="0000FF"/>
          <w:kern w:val="0"/>
          <w:sz w:val="28"/>
          <w:szCs w:val="28"/>
        </w:rPr>
        <w:t>5.26</w:t>
      </w:r>
      <w:r w:rsidRPr="002204E9">
        <w:rPr>
          <w:rFonts w:ascii="宋体" w:hAnsi="宋体" w:hint="eastAsia"/>
          <w:color w:val="0000FF"/>
          <w:kern w:val="0"/>
          <w:sz w:val="28"/>
          <w:szCs w:val="28"/>
        </w:rPr>
        <w:t>%</w:t>
      </w:r>
    </w:p>
    <w:p w:rsidR="0019598F" w:rsidRPr="00F81A5A" w:rsidRDefault="00F81A5A" w:rsidP="0019598F">
      <w:pPr>
        <w:rPr>
          <w:rFonts w:ascii="楷体" w:eastAsia="楷体" w:hAnsi="楷体"/>
          <w:b/>
          <w:color w:val="C00000"/>
          <w:kern w:val="0"/>
          <w:sz w:val="32"/>
          <w:szCs w:val="32"/>
        </w:rPr>
      </w:pPr>
      <w:r>
        <w:rPr>
          <w:rFonts w:ascii="楷体" w:eastAsia="楷体" w:hAnsi="楷体" w:hint="eastAsia"/>
          <w:b/>
          <w:color w:val="C00000"/>
          <w:kern w:val="0"/>
          <w:sz w:val="32"/>
          <w:szCs w:val="32"/>
        </w:rPr>
        <w:t>二</w:t>
      </w:r>
      <w:r w:rsidRPr="001D434D">
        <w:rPr>
          <w:rFonts w:ascii="楷体" w:eastAsia="楷体" w:hAnsi="楷体" w:hint="eastAsia"/>
          <w:b/>
          <w:color w:val="C00000"/>
          <w:kern w:val="0"/>
          <w:sz w:val="32"/>
          <w:szCs w:val="32"/>
        </w:rPr>
        <w:t>、</w:t>
      </w:r>
      <w:r w:rsidR="0019598F" w:rsidRPr="00F81A5A">
        <w:rPr>
          <w:rFonts w:ascii="楷体" w:eastAsia="楷体" w:hAnsi="楷体" w:hint="eastAsia"/>
          <w:b/>
          <w:color w:val="C00000"/>
          <w:kern w:val="0"/>
          <w:sz w:val="32"/>
          <w:szCs w:val="32"/>
        </w:rPr>
        <w:t>互联网汽车融资租赁发展面临的问题</w:t>
      </w:r>
    </w:p>
    <w:p w:rsidR="0019598F" w:rsidRPr="00B26F14" w:rsidRDefault="00B26F14" w:rsidP="00B26F14">
      <w:pPr>
        <w:ind w:firstLineChars="200" w:firstLine="602"/>
        <w:rPr>
          <w:rFonts w:ascii="宋体" w:hAnsi="宋体"/>
          <w:b/>
          <w:color w:val="C00000"/>
          <w:kern w:val="0"/>
          <w:sz w:val="30"/>
          <w:szCs w:val="30"/>
        </w:rPr>
      </w:pPr>
      <w:r w:rsidRPr="00AE5F7D">
        <w:rPr>
          <w:rFonts w:ascii="宋体" w:hAnsi="宋体" w:hint="eastAsia"/>
          <w:b/>
          <w:color w:val="C00000"/>
          <w:kern w:val="0"/>
          <w:sz w:val="30"/>
          <w:szCs w:val="30"/>
        </w:rPr>
        <w:t>（一）</w:t>
      </w:r>
      <w:r w:rsidR="0019598F" w:rsidRPr="00B26F14">
        <w:rPr>
          <w:rFonts w:ascii="宋体" w:hAnsi="宋体" w:hint="eastAsia"/>
          <w:b/>
          <w:color w:val="C00000"/>
          <w:kern w:val="0"/>
          <w:sz w:val="30"/>
          <w:szCs w:val="30"/>
        </w:rPr>
        <w:t>市场认可度有待提高</w:t>
      </w:r>
    </w:p>
    <w:p w:rsidR="0019598F" w:rsidRPr="00AD2FEE" w:rsidRDefault="0019598F" w:rsidP="00AD2FEE">
      <w:pPr>
        <w:ind w:firstLineChars="200" w:firstLine="560"/>
        <w:rPr>
          <w:rFonts w:asciiTheme="minorEastAsia" w:eastAsiaTheme="minorEastAsia" w:hAnsiTheme="minorEastAsia" w:cs="宋体"/>
          <w:sz w:val="28"/>
          <w:szCs w:val="28"/>
        </w:rPr>
      </w:pPr>
      <w:r w:rsidRPr="00AD2FEE">
        <w:rPr>
          <w:rFonts w:asciiTheme="minorEastAsia" w:eastAsiaTheme="minorEastAsia" w:hAnsiTheme="minorEastAsia" w:cs="宋体" w:hint="eastAsia"/>
          <w:sz w:val="28"/>
          <w:szCs w:val="28"/>
        </w:rPr>
        <w:lastRenderedPageBreak/>
        <w:t>目前，我国对于互联网汽车融资租赁的认识不够全面，导致对此方式的认可度不高。这是由于融资租赁模式下，汽车的所有权与使用权呈现分离状态，承租人只具有使用权，在长期形成的传统消费观念下，很难被消费者所接受。与此同时，融资租赁产品定价高于信贷类产品，也是客户接受度不高的原因之一。</w:t>
      </w:r>
    </w:p>
    <w:p w:rsidR="0019598F" w:rsidRPr="00B26F14" w:rsidRDefault="00B26F14" w:rsidP="00B26F14">
      <w:pPr>
        <w:ind w:firstLineChars="200" w:firstLine="602"/>
        <w:rPr>
          <w:rFonts w:ascii="宋体" w:hAnsi="宋体"/>
          <w:b/>
          <w:color w:val="C00000"/>
          <w:kern w:val="0"/>
          <w:sz w:val="30"/>
          <w:szCs w:val="30"/>
        </w:rPr>
      </w:pPr>
      <w:r w:rsidRPr="00AE5F7D">
        <w:rPr>
          <w:rFonts w:ascii="宋体" w:hAnsi="宋体" w:hint="eastAsia"/>
          <w:b/>
          <w:color w:val="C00000"/>
          <w:kern w:val="0"/>
          <w:sz w:val="30"/>
          <w:szCs w:val="30"/>
        </w:rPr>
        <w:t>（二）</w:t>
      </w:r>
      <w:r w:rsidR="0019598F" w:rsidRPr="00B26F14">
        <w:rPr>
          <w:rFonts w:ascii="宋体" w:hAnsi="宋体" w:hint="eastAsia"/>
          <w:b/>
          <w:color w:val="C00000"/>
          <w:kern w:val="0"/>
          <w:sz w:val="30"/>
          <w:szCs w:val="30"/>
        </w:rPr>
        <w:t>二手车市场不完善</w:t>
      </w:r>
    </w:p>
    <w:p w:rsidR="0019598F" w:rsidRPr="00AD2FEE" w:rsidRDefault="0019598F" w:rsidP="00AD2FEE">
      <w:pPr>
        <w:ind w:firstLineChars="200" w:firstLine="560"/>
        <w:rPr>
          <w:rFonts w:asciiTheme="minorEastAsia" w:eastAsiaTheme="minorEastAsia" w:hAnsiTheme="minorEastAsia" w:cs="宋体"/>
          <w:sz w:val="28"/>
          <w:szCs w:val="28"/>
        </w:rPr>
      </w:pPr>
      <w:r w:rsidRPr="00AD2FEE">
        <w:rPr>
          <w:rFonts w:asciiTheme="minorEastAsia" w:eastAsiaTheme="minorEastAsia" w:hAnsiTheme="minorEastAsia" w:cs="宋体" w:hint="eastAsia"/>
          <w:sz w:val="28"/>
          <w:szCs w:val="28"/>
        </w:rPr>
        <w:t>根据互联网汽车融资租赁发展模式，当期满后则需对退租车</w:t>
      </w:r>
      <w:proofErr w:type="gramStart"/>
      <w:r w:rsidRPr="00AD2FEE">
        <w:rPr>
          <w:rFonts w:asciiTheme="minorEastAsia" w:eastAsiaTheme="minorEastAsia" w:hAnsiTheme="minorEastAsia" w:cs="宋体" w:hint="eastAsia"/>
          <w:sz w:val="28"/>
          <w:szCs w:val="28"/>
        </w:rPr>
        <w:t>辆实施</w:t>
      </w:r>
      <w:proofErr w:type="gramEnd"/>
      <w:r w:rsidRPr="00AD2FEE">
        <w:rPr>
          <w:rFonts w:asciiTheme="minorEastAsia" w:eastAsiaTheme="minorEastAsia" w:hAnsiTheme="minorEastAsia" w:cs="宋体" w:hint="eastAsia"/>
          <w:sz w:val="28"/>
          <w:szCs w:val="28"/>
        </w:rPr>
        <w:t>有效处置。目前我国二手车市场生态环境尚不完善，无法有效满足汽车融资租赁业务发展的需求。比如二手车信息不透明，缺乏专业机构进行权威认证，而且全国性二手车交易信息网路系统建设尚不健全，二手车鉴定环节和评估标准不统一。部分车辆存在隐瞒或虚报、篡改信息等情况，影响买卖双方的信息对称性，不利于建设二手车市场秩序。</w:t>
      </w:r>
    </w:p>
    <w:p w:rsidR="0019598F" w:rsidRPr="00B26F14" w:rsidRDefault="00B26F14" w:rsidP="00B26F14">
      <w:pPr>
        <w:ind w:firstLineChars="200" w:firstLine="602"/>
        <w:rPr>
          <w:rFonts w:ascii="宋体" w:hAnsi="宋体"/>
          <w:b/>
          <w:color w:val="C00000"/>
          <w:kern w:val="0"/>
          <w:sz w:val="30"/>
          <w:szCs w:val="30"/>
        </w:rPr>
      </w:pPr>
      <w:r w:rsidRPr="00AE5F7D">
        <w:rPr>
          <w:rFonts w:ascii="宋体" w:hAnsi="宋体" w:hint="eastAsia"/>
          <w:b/>
          <w:color w:val="C00000"/>
          <w:kern w:val="0"/>
          <w:sz w:val="30"/>
          <w:szCs w:val="30"/>
        </w:rPr>
        <w:t>（三）</w:t>
      </w:r>
      <w:r w:rsidR="0019598F" w:rsidRPr="00B26F14">
        <w:rPr>
          <w:rFonts w:ascii="宋体" w:hAnsi="宋体" w:hint="eastAsia"/>
          <w:b/>
          <w:color w:val="C00000"/>
          <w:kern w:val="0"/>
          <w:sz w:val="30"/>
          <w:szCs w:val="30"/>
        </w:rPr>
        <w:t>征信体系尚未健全</w:t>
      </w:r>
    </w:p>
    <w:p w:rsidR="0019598F" w:rsidRPr="00AD2FEE" w:rsidRDefault="0019598F" w:rsidP="00AD2FEE">
      <w:pPr>
        <w:ind w:firstLineChars="200" w:firstLine="560"/>
        <w:rPr>
          <w:rFonts w:asciiTheme="minorEastAsia" w:eastAsiaTheme="minorEastAsia" w:hAnsiTheme="minorEastAsia" w:cs="宋体"/>
          <w:sz w:val="28"/>
          <w:szCs w:val="28"/>
        </w:rPr>
      </w:pPr>
      <w:r w:rsidRPr="00AD2FEE">
        <w:rPr>
          <w:rFonts w:asciiTheme="minorEastAsia" w:eastAsiaTheme="minorEastAsia" w:hAnsiTheme="minorEastAsia" w:cs="宋体" w:hint="eastAsia"/>
          <w:sz w:val="28"/>
          <w:szCs w:val="28"/>
        </w:rPr>
        <w:t>信用风险是互联网汽车融资租赁的重要控制内容，因此为保障该项业务的平稳进行，需要加强征信管理。但由于我国现有的征信系统是以中国人民银行征信中心数据中心为依据，就当前的覆盖率而言，尚未实现完全覆盖。从而出现较为严重的信用数据缺失问题。而且征信系统信息的来源主要为商业银行的贷款还款记录等，数据维度较为单一，难以适应互联网背景下汽车融资租赁业务的实际发展需求。同时大部分汽车融资租赁公司均未接入征信系统，同类可参考信息较少。</w:t>
      </w:r>
    </w:p>
    <w:p w:rsidR="0019598F" w:rsidRPr="00B26F14" w:rsidRDefault="00B26F14" w:rsidP="00B26F14">
      <w:pPr>
        <w:ind w:firstLineChars="200" w:firstLine="602"/>
        <w:rPr>
          <w:rFonts w:ascii="宋体" w:hAnsi="宋体"/>
          <w:b/>
          <w:color w:val="C00000"/>
          <w:kern w:val="0"/>
          <w:sz w:val="30"/>
          <w:szCs w:val="30"/>
        </w:rPr>
      </w:pPr>
      <w:r w:rsidRPr="00AE5F7D">
        <w:rPr>
          <w:rFonts w:ascii="宋体" w:hAnsi="宋体" w:hint="eastAsia"/>
          <w:b/>
          <w:color w:val="C00000"/>
          <w:kern w:val="0"/>
          <w:sz w:val="30"/>
          <w:szCs w:val="30"/>
        </w:rPr>
        <w:t>（四）</w:t>
      </w:r>
      <w:r w:rsidR="0019598F" w:rsidRPr="00B26F14">
        <w:rPr>
          <w:rFonts w:ascii="宋体" w:hAnsi="宋体" w:hint="eastAsia"/>
          <w:b/>
          <w:color w:val="C00000"/>
          <w:kern w:val="0"/>
          <w:sz w:val="30"/>
          <w:szCs w:val="30"/>
        </w:rPr>
        <w:t>法律监管力度不足</w:t>
      </w:r>
    </w:p>
    <w:p w:rsidR="0019598F" w:rsidRPr="00AD2FEE" w:rsidRDefault="0019598F" w:rsidP="00AD2FEE">
      <w:pPr>
        <w:ind w:firstLineChars="200" w:firstLine="560"/>
        <w:rPr>
          <w:rFonts w:asciiTheme="minorEastAsia" w:eastAsiaTheme="minorEastAsia" w:hAnsiTheme="minorEastAsia" w:cs="宋体"/>
          <w:sz w:val="28"/>
          <w:szCs w:val="28"/>
        </w:rPr>
      </w:pPr>
      <w:r w:rsidRPr="00AD2FEE">
        <w:rPr>
          <w:rFonts w:asciiTheme="minorEastAsia" w:eastAsiaTheme="minorEastAsia" w:hAnsiTheme="minorEastAsia" w:cs="宋体" w:hint="eastAsia"/>
          <w:sz w:val="28"/>
          <w:szCs w:val="28"/>
        </w:rPr>
        <w:lastRenderedPageBreak/>
        <w:t>法律监管是保障互联网汽车融资租赁健康发展的基础保障，相关成文法及管理条例不健全。这是因为互联网汽车融资租赁作为一种新业态，其发展速度较快，现有法案难以实现有效监管和规范，导致市场监管力度不足，业务发展也受到了一定的阻碍。</w:t>
      </w:r>
    </w:p>
    <w:p w:rsidR="0019598F" w:rsidRPr="00F81A5A" w:rsidRDefault="00F81A5A" w:rsidP="0019598F">
      <w:pPr>
        <w:rPr>
          <w:rFonts w:ascii="楷体" w:eastAsia="楷体" w:hAnsi="楷体"/>
          <w:b/>
          <w:color w:val="C00000"/>
          <w:kern w:val="0"/>
          <w:sz w:val="32"/>
          <w:szCs w:val="32"/>
        </w:rPr>
      </w:pPr>
      <w:r>
        <w:rPr>
          <w:rFonts w:ascii="楷体" w:eastAsia="楷体" w:hAnsi="楷体" w:hint="eastAsia"/>
          <w:b/>
          <w:color w:val="C00000"/>
          <w:kern w:val="0"/>
          <w:sz w:val="32"/>
          <w:szCs w:val="32"/>
        </w:rPr>
        <w:t>三</w:t>
      </w:r>
      <w:r w:rsidRPr="001D434D">
        <w:rPr>
          <w:rFonts w:ascii="楷体" w:eastAsia="楷体" w:hAnsi="楷体" w:hint="eastAsia"/>
          <w:b/>
          <w:color w:val="C00000"/>
          <w:kern w:val="0"/>
          <w:sz w:val="32"/>
          <w:szCs w:val="32"/>
        </w:rPr>
        <w:t>、</w:t>
      </w:r>
      <w:r w:rsidR="0019598F" w:rsidRPr="00F81A5A">
        <w:rPr>
          <w:rFonts w:ascii="楷体" w:eastAsia="楷体" w:hAnsi="楷体" w:hint="eastAsia"/>
          <w:b/>
          <w:color w:val="C00000"/>
          <w:kern w:val="0"/>
          <w:sz w:val="32"/>
          <w:szCs w:val="32"/>
        </w:rPr>
        <w:t>汽车融资租赁发展建议</w:t>
      </w:r>
    </w:p>
    <w:p w:rsidR="0019598F" w:rsidRPr="00B26F14" w:rsidRDefault="00B26F14" w:rsidP="00B26F14">
      <w:pPr>
        <w:ind w:firstLineChars="200" w:firstLine="602"/>
        <w:rPr>
          <w:rFonts w:ascii="宋体" w:hAnsi="宋体"/>
          <w:b/>
          <w:color w:val="C00000"/>
          <w:kern w:val="0"/>
          <w:sz w:val="30"/>
          <w:szCs w:val="30"/>
        </w:rPr>
      </w:pPr>
      <w:r w:rsidRPr="00AE5F7D">
        <w:rPr>
          <w:rFonts w:ascii="宋体" w:hAnsi="宋体" w:hint="eastAsia"/>
          <w:b/>
          <w:color w:val="C00000"/>
          <w:kern w:val="0"/>
          <w:sz w:val="30"/>
          <w:szCs w:val="30"/>
        </w:rPr>
        <w:t>（一）</w:t>
      </w:r>
      <w:r w:rsidR="0019598F" w:rsidRPr="00B26F14">
        <w:rPr>
          <w:rFonts w:ascii="宋体" w:hAnsi="宋体" w:hint="eastAsia"/>
          <w:b/>
          <w:color w:val="C00000"/>
          <w:kern w:val="0"/>
          <w:sz w:val="30"/>
          <w:szCs w:val="30"/>
        </w:rPr>
        <w:t>提高汽车融资租赁市场认可度</w:t>
      </w:r>
    </w:p>
    <w:p w:rsidR="0019598F" w:rsidRPr="00AD2FEE" w:rsidRDefault="0019598F" w:rsidP="00AD2FEE">
      <w:pPr>
        <w:ind w:firstLineChars="200" w:firstLine="560"/>
        <w:rPr>
          <w:rFonts w:asciiTheme="minorEastAsia" w:eastAsiaTheme="minorEastAsia" w:hAnsiTheme="minorEastAsia" w:cs="宋体"/>
          <w:sz w:val="28"/>
          <w:szCs w:val="28"/>
        </w:rPr>
      </w:pPr>
      <w:r w:rsidRPr="00AD2FEE">
        <w:rPr>
          <w:rFonts w:asciiTheme="minorEastAsia" w:eastAsiaTheme="minorEastAsia" w:hAnsiTheme="minorEastAsia" w:cs="宋体" w:hint="eastAsia"/>
          <w:sz w:val="28"/>
          <w:szCs w:val="28"/>
        </w:rPr>
        <w:t>为实现在互联网背景下汽车融资租赁行业的健康发展，需要提高市场对融资租赁业务形态认可度。具体措施需进一步加强对融资租赁产品的宣传力度，提高融资租赁业态普及率。尤其在汽车销售的过程中，鼓励选择汽车融资租赁方式购车，适度普及所有权与使用权分离的优点，合理设置汽车融资租赁相关权利、义务条款等。</w:t>
      </w:r>
    </w:p>
    <w:p w:rsidR="0019598F" w:rsidRPr="00B26F14" w:rsidRDefault="00B26F14" w:rsidP="00B26F14">
      <w:pPr>
        <w:ind w:firstLineChars="200" w:firstLine="602"/>
        <w:rPr>
          <w:rFonts w:ascii="宋体" w:hAnsi="宋体"/>
          <w:b/>
          <w:color w:val="C00000"/>
          <w:kern w:val="0"/>
          <w:sz w:val="30"/>
          <w:szCs w:val="30"/>
        </w:rPr>
      </w:pPr>
      <w:r w:rsidRPr="00AE5F7D">
        <w:rPr>
          <w:rFonts w:ascii="宋体" w:hAnsi="宋体" w:hint="eastAsia"/>
          <w:b/>
          <w:color w:val="C00000"/>
          <w:kern w:val="0"/>
          <w:sz w:val="30"/>
          <w:szCs w:val="30"/>
        </w:rPr>
        <w:t>（二）</w:t>
      </w:r>
      <w:r w:rsidR="0019598F" w:rsidRPr="00B26F14">
        <w:rPr>
          <w:rFonts w:ascii="宋体" w:hAnsi="宋体" w:hint="eastAsia"/>
          <w:b/>
          <w:color w:val="C00000"/>
          <w:kern w:val="0"/>
          <w:sz w:val="30"/>
          <w:szCs w:val="30"/>
        </w:rPr>
        <w:t>加快二手车市场建设</w:t>
      </w:r>
    </w:p>
    <w:p w:rsidR="0019598F" w:rsidRPr="00AD2FEE" w:rsidRDefault="0019598F" w:rsidP="00AD2FEE">
      <w:pPr>
        <w:ind w:firstLineChars="200" w:firstLine="560"/>
        <w:rPr>
          <w:rFonts w:asciiTheme="minorEastAsia" w:eastAsiaTheme="minorEastAsia" w:hAnsiTheme="minorEastAsia" w:cs="宋体"/>
          <w:sz w:val="28"/>
          <w:szCs w:val="28"/>
        </w:rPr>
      </w:pPr>
      <w:r w:rsidRPr="00AD2FEE">
        <w:rPr>
          <w:rFonts w:asciiTheme="minorEastAsia" w:eastAsiaTheme="minorEastAsia" w:hAnsiTheme="minorEastAsia" w:cs="宋体" w:hint="eastAsia"/>
          <w:sz w:val="28"/>
          <w:szCs w:val="28"/>
        </w:rPr>
        <w:t>完善二手车市场建设是推动互联网汽车融资租赁的重要举措，因此应当加快建立二手车流通信息平台，严格把控二手车量的准确信息。并积极建立专业二手车信息鉴定机构，借鉴西方国家的先进做法，制定科学规范的车辆残值评估标准。同时需由政府牵头完善二手车市场配套标准和服务，如规范二手车残值评估办法、评估标准等，并利用互联网平台建立透明的公示系统，推动二手车市场趋向标准化。</w:t>
      </w:r>
    </w:p>
    <w:p w:rsidR="0019598F" w:rsidRPr="00B26F14" w:rsidRDefault="00B26F14" w:rsidP="00B26F14">
      <w:pPr>
        <w:ind w:firstLineChars="200" w:firstLine="602"/>
        <w:rPr>
          <w:rFonts w:ascii="宋体" w:hAnsi="宋体"/>
          <w:b/>
          <w:color w:val="C00000"/>
          <w:kern w:val="0"/>
          <w:sz w:val="30"/>
          <w:szCs w:val="30"/>
        </w:rPr>
      </w:pPr>
      <w:r w:rsidRPr="00AE5F7D">
        <w:rPr>
          <w:rFonts w:ascii="宋体" w:hAnsi="宋体" w:hint="eastAsia"/>
          <w:b/>
          <w:color w:val="C00000"/>
          <w:kern w:val="0"/>
          <w:sz w:val="30"/>
          <w:szCs w:val="30"/>
        </w:rPr>
        <w:t>（三）</w:t>
      </w:r>
      <w:r w:rsidR="0019598F" w:rsidRPr="00B26F14">
        <w:rPr>
          <w:rFonts w:ascii="宋体" w:hAnsi="宋体" w:hint="eastAsia"/>
          <w:b/>
          <w:color w:val="C00000"/>
          <w:kern w:val="0"/>
          <w:sz w:val="30"/>
          <w:szCs w:val="30"/>
        </w:rPr>
        <w:t>完善征信体系建设</w:t>
      </w:r>
    </w:p>
    <w:p w:rsidR="0019598F" w:rsidRPr="00DF4DCB" w:rsidRDefault="0019598F" w:rsidP="00DF4DCB">
      <w:pPr>
        <w:ind w:firstLineChars="200" w:firstLine="560"/>
        <w:rPr>
          <w:rFonts w:asciiTheme="minorEastAsia" w:eastAsiaTheme="minorEastAsia" w:hAnsiTheme="minorEastAsia" w:cs="宋体"/>
          <w:sz w:val="28"/>
          <w:szCs w:val="28"/>
        </w:rPr>
      </w:pPr>
      <w:r w:rsidRPr="00DF4DCB">
        <w:rPr>
          <w:rFonts w:asciiTheme="minorEastAsia" w:eastAsiaTheme="minorEastAsia" w:hAnsiTheme="minorEastAsia" w:cs="宋体" w:hint="eastAsia"/>
          <w:sz w:val="28"/>
          <w:szCs w:val="28"/>
        </w:rPr>
        <w:t>加强对征信体系的完善建设时防范金融风险的关键性措施，根据当前互联网汽车融资租赁企业的发展现状，可在依托电商平台的基础上，利用自身优势健全互联网征信体系。通过组建第三方支付机构、</w:t>
      </w:r>
      <w:r w:rsidRPr="00DF4DCB">
        <w:rPr>
          <w:rFonts w:asciiTheme="minorEastAsia" w:eastAsiaTheme="minorEastAsia" w:hAnsiTheme="minorEastAsia" w:cs="宋体" w:hint="eastAsia"/>
          <w:sz w:val="28"/>
          <w:szCs w:val="28"/>
        </w:rPr>
        <w:lastRenderedPageBreak/>
        <w:t>运作平台以及社交网络等，全方位采集信息流，以便于全面准确的评估个人或企业的信用等级。尤其是数字时代的来临，为实现这一目标提供了可行条件，可将银行征信体系作为基础，补充大数据下的互联网征信评估信息，并</w:t>
      </w:r>
      <w:proofErr w:type="gramStart"/>
      <w:r w:rsidRPr="00DF4DCB">
        <w:rPr>
          <w:rFonts w:asciiTheme="minorEastAsia" w:eastAsiaTheme="minorEastAsia" w:hAnsiTheme="minorEastAsia" w:cs="宋体" w:hint="eastAsia"/>
          <w:sz w:val="28"/>
          <w:szCs w:val="28"/>
        </w:rPr>
        <w:t>引进区</w:t>
      </w:r>
      <w:proofErr w:type="gramEnd"/>
      <w:r w:rsidRPr="00DF4DCB">
        <w:rPr>
          <w:rFonts w:asciiTheme="minorEastAsia" w:eastAsiaTheme="minorEastAsia" w:hAnsiTheme="minorEastAsia" w:cs="宋体" w:hint="eastAsia"/>
          <w:sz w:val="28"/>
          <w:szCs w:val="28"/>
        </w:rPr>
        <w:t>块链技术，确保数据安全性。</w:t>
      </w:r>
    </w:p>
    <w:p w:rsidR="0019598F" w:rsidRPr="00B26F14" w:rsidRDefault="00B26F14" w:rsidP="00B26F14">
      <w:pPr>
        <w:ind w:firstLineChars="200" w:firstLine="602"/>
        <w:rPr>
          <w:rFonts w:ascii="宋体" w:hAnsi="宋体"/>
          <w:b/>
          <w:color w:val="C00000"/>
          <w:kern w:val="0"/>
          <w:sz w:val="30"/>
          <w:szCs w:val="30"/>
        </w:rPr>
      </w:pPr>
      <w:r w:rsidRPr="00AE5F7D">
        <w:rPr>
          <w:rFonts w:ascii="宋体" w:hAnsi="宋体" w:hint="eastAsia"/>
          <w:b/>
          <w:color w:val="C00000"/>
          <w:kern w:val="0"/>
          <w:sz w:val="30"/>
          <w:szCs w:val="30"/>
        </w:rPr>
        <w:t>（四）</w:t>
      </w:r>
      <w:r w:rsidR="0019598F" w:rsidRPr="00B26F14">
        <w:rPr>
          <w:rFonts w:ascii="宋体" w:hAnsi="宋体" w:hint="eastAsia"/>
          <w:b/>
          <w:color w:val="C00000"/>
          <w:kern w:val="0"/>
          <w:sz w:val="30"/>
          <w:szCs w:val="30"/>
        </w:rPr>
        <w:t>健全相关法律规范</w:t>
      </w:r>
    </w:p>
    <w:p w:rsidR="0019598F" w:rsidRPr="00DF4DCB" w:rsidRDefault="0019598F" w:rsidP="00DF4DCB">
      <w:pPr>
        <w:ind w:firstLineChars="200" w:firstLine="560"/>
        <w:rPr>
          <w:rFonts w:asciiTheme="minorEastAsia" w:eastAsiaTheme="minorEastAsia" w:hAnsiTheme="minorEastAsia" w:cs="宋体"/>
          <w:sz w:val="28"/>
          <w:szCs w:val="28"/>
        </w:rPr>
      </w:pPr>
      <w:r w:rsidRPr="00DF4DCB">
        <w:rPr>
          <w:rFonts w:asciiTheme="minorEastAsia" w:eastAsiaTheme="minorEastAsia" w:hAnsiTheme="minorEastAsia" w:cs="宋体" w:hint="eastAsia"/>
          <w:sz w:val="28"/>
          <w:szCs w:val="28"/>
        </w:rPr>
        <w:t>对于互联网汽车融资租赁模式的发展，应当健全相关法律法规。首先在顶层设计中需要加快《融资租赁法》的立法工作，明确将互联网融资租赁纳入监管范围，确定承租人、出租人等权利和义务。同时在二手车法律监管方面，应当尽可能保障法律建设与市场发展变化相一致，对现有法律或管理条例进行修订，充分保障市场秩序的有序运行，维护消费者合法权益。在征信体系建设层面，应注重个人征信加强公开化和透明化，并完善个人信息保护法律，界定个人隐私范畴，对个人权益强化保护力度。</w:t>
      </w:r>
    </w:p>
    <w:p w:rsidR="0019598F" w:rsidRPr="00B26F14" w:rsidRDefault="00B26F14" w:rsidP="00B26F14">
      <w:pPr>
        <w:ind w:firstLineChars="200" w:firstLine="602"/>
        <w:rPr>
          <w:rFonts w:ascii="宋体" w:hAnsi="宋体"/>
          <w:b/>
          <w:color w:val="C00000"/>
          <w:kern w:val="0"/>
          <w:sz w:val="30"/>
          <w:szCs w:val="30"/>
        </w:rPr>
      </w:pPr>
      <w:r w:rsidRPr="00AE5F7D">
        <w:rPr>
          <w:rFonts w:ascii="宋体" w:hAnsi="宋体" w:hint="eastAsia"/>
          <w:b/>
          <w:color w:val="C00000"/>
          <w:kern w:val="0"/>
          <w:sz w:val="30"/>
          <w:szCs w:val="30"/>
        </w:rPr>
        <w:t>（</w:t>
      </w:r>
      <w:r>
        <w:rPr>
          <w:rFonts w:ascii="宋体" w:hAnsi="宋体" w:hint="eastAsia"/>
          <w:b/>
          <w:color w:val="C00000"/>
          <w:kern w:val="0"/>
          <w:sz w:val="30"/>
          <w:szCs w:val="30"/>
        </w:rPr>
        <w:t>五</w:t>
      </w:r>
      <w:r w:rsidRPr="00AE5F7D">
        <w:rPr>
          <w:rFonts w:ascii="宋体" w:hAnsi="宋体" w:hint="eastAsia"/>
          <w:b/>
          <w:color w:val="C00000"/>
          <w:kern w:val="0"/>
          <w:sz w:val="30"/>
          <w:szCs w:val="30"/>
        </w:rPr>
        <w:t>）</w:t>
      </w:r>
      <w:r w:rsidR="0019598F" w:rsidRPr="00B26F14">
        <w:rPr>
          <w:rFonts w:ascii="宋体" w:hAnsi="宋体" w:hint="eastAsia"/>
          <w:b/>
          <w:color w:val="C00000"/>
          <w:kern w:val="0"/>
          <w:sz w:val="30"/>
          <w:szCs w:val="30"/>
        </w:rPr>
        <w:t>发挥银行作用推进融资租赁业务发展</w:t>
      </w:r>
    </w:p>
    <w:p w:rsidR="006A46B5" w:rsidRPr="00DF4DCB" w:rsidRDefault="0019598F" w:rsidP="00DF4DCB">
      <w:pPr>
        <w:ind w:firstLineChars="200" w:firstLine="560"/>
        <w:rPr>
          <w:rFonts w:asciiTheme="minorEastAsia" w:eastAsiaTheme="minorEastAsia" w:hAnsiTheme="minorEastAsia" w:cs="宋体"/>
          <w:sz w:val="28"/>
          <w:szCs w:val="28"/>
        </w:rPr>
      </w:pPr>
      <w:r w:rsidRPr="00DF4DCB">
        <w:rPr>
          <w:rFonts w:asciiTheme="minorEastAsia" w:eastAsiaTheme="minorEastAsia" w:hAnsiTheme="minorEastAsia" w:cs="宋体" w:hint="eastAsia"/>
          <w:sz w:val="28"/>
          <w:szCs w:val="28"/>
        </w:rPr>
        <w:t>银行在互联网汽车融资租赁业务中能够发挥重要作用，因此在今后建设发展中，应当提高对银行角色的重视程度。</w:t>
      </w:r>
    </w:p>
    <w:p w:rsidR="006A46B5" w:rsidRPr="006A46B5" w:rsidRDefault="006A46B5" w:rsidP="006A46B5">
      <w:pPr>
        <w:ind w:firstLineChars="200" w:firstLine="560"/>
        <w:rPr>
          <w:rFonts w:ascii="黑体" w:eastAsia="黑体" w:hAnsi="黑体"/>
          <w:kern w:val="0"/>
          <w:sz w:val="28"/>
          <w:szCs w:val="28"/>
        </w:rPr>
      </w:pPr>
      <w:r w:rsidRPr="00005AD7">
        <w:rPr>
          <w:rFonts w:ascii="黑体" w:eastAsia="黑体" w:hAnsi="黑体" w:hint="eastAsia"/>
          <w:kern w:val="0"/>
          <w:sz w:val="28"/>
          <w:szCs w:val="28"/>
        </w:rPr>
        <w:t>1.</w:t>
      </w:r>
      <w:r w:rsidRPr="006A46B5">
        <w:rPr>
          <w:rFonts w:ascii="黑体" w:eastAsia="黑体" w:hAnsi="黑体" w:hint="eastAsia"/>
          <w:kern w:val="0"/>
          <w:sz w:val="28"/>
          <w:szCs w:val="28"/>
        </w:rPr>
        <w:t>直接开办融资租赁业务</w:t>
      </w:r>
    </w:p>
    <w:p w:rsidR="006A46B5" w:rsidRPr="00DF4DCB" w:rsidRDefault="0019598F" w:rsidP="00DF4DCB">
      <w:pPr>
        <w:ind w:firstLineChars="200" w:firstLine="560"/>
        <w:rPr>
          <w:rFonts w:asciiTheme="minorEastAsia" w:eastAsiaTheme="minorEastAsia" w:hAnsiTheme="minorEastAsia" w:cs="宋体"/>
          <w:sz w:val="28"/>
          <w:szCs w:val="28"/>
        </w:rPr>
      </w:pPr>
      <w:r w:rsidRPr="00DF4DCB">
        <w:rPr>
          <w:rFonts w:asciiTheme="minorEastAsia" w:eastAsiaTheme="minorEastAsia" w:hAnsiTheme="minorEastAsia" w:cs="宋体" w:hint="eastAsia"/>
          <w:sz w:val="28"/>
          <w:szCs w:val="28"/>
        </w:rPr>
        <w:t>首先银行可通过直接开办融资租赁业务，或是为金融租赁公司提供助贷服务等，比如基于《商业银行互联网贷款管理暂行办法》，结合融资租赁业务流程、场景及客</w:t>
      </w:r>
      <w:proofErr w:type="gramStart"/>
      <w:r w:rsidRPr="00DF4DCB">
        <w:rPr>
          <w:rFonts w:asciiTheme="minorEastAsia" w:eastAsiaTheme="minorEastAsia" w:hAnsiTheme="minorEastAsia" w:cs="宋体" w:hint="eastAsia"/>
          <w:sz w:val="28"/>
          <w:szCs w:val="28"/>
        </w:rPr>
        <w:t>群特点</w:t>
      </w:r>
      <w:proofErr w:type="gramEnd"/>
      <w:r w:rsidRPr="00DF4DCB">
        <w:rPr>
          <w:rFonts w:asciiTheme="minorEastAsia" w:eastAsiaTheme="minorEastAsia" w:hAnsiTheme="minorEastAsia" w:cs="宋体" w:hint="eastAsia"/>
          <w:sz w:val="28"/>
          <w:szCs w:val="28"/>
        </w:rPr>
        <w:t>创设新车融资租赁场景贷产品，与融资租赁公司签订合作协议，贷款资金受托支付承租客户的租车租金，车辆抵押给融资租赁公司，待承租方还清银行贷款后可申请涂销</w:t>
      </w:r>
      <w:r w:rsidRPr="00DF4DCB">
        <w:rPr>
          <w:rFonts w:asciiTheme="minorEastAsia" w:eastAsiaTheme="minorEastAsia" w:hAnsiTheme="minorEastAsia" w:cs="宋体" w:hint="eastAsia"/>
          <w:sz w:val="28"/>
          <w:szCs w:val="28"/>
        </w:rPr>
        <w:lastRenderedPageBreak/>
        <w:t>抵押，银行的介入有助于释放部分存差，从而为长期开展租赁业务提供为稳定的资金支持。</w:t>
      </w:r>
    </w:p>
    <w:p w:rsidR="006A46B5" w:rsidRDefault="006A46B5" w:rsidP="006A46B5">
      <w:pPr>
        <w:ind w:firstLineChars="200" w:firstLine="560"/>
        <w:rPr>
          <w:rFonts w:ascii="黑体" w:eastAsia="黑体" w:hAnsi="黑体"/>
          <w:kern w:val="0"/>
          <w:sz w:val="28"/>
          <w:szCs w:val="28"/>
        </w:rPr>
      </w:pPr>
      <w:r>
        <w:rPr>
          <w:rFonts w:ascii="黑体" w:eastAsia="黑体" w:hAnsi="黑体" w:hint="eastAsia"/>
          <w:kern w:val="0"/>
          <w:sz w:val="28"/>
          <w:szCs w:val="28"/>
        </w:rPr>
        <w:t>2</w:t>
      </w:r>
      <w:r w:rsidRPr="00005AD7">
        <w:rPr>
          <w:rFonts w:ascii="黑体" w:eastAsia="黑体" w:hAnsi="黑体" w:hint="eastAsia"/>
          <w:kern w:val="0"/>
          <w:sz w:val="28"/>
          <w:szCs w:val="28"/>
        </w:rPr>
        <w:t>.</w:t>
      </w:r>
      <w:r w:rsidRPr="006A46B5">
        <w:rPr>
          <w:rFonts w:ascii="黑体" w:eastAsia="黑体" w:hAnsi="黑体" w:hint="eastAsia"/>
          <w:kern w:val="0"/>
          <w:sz w:val="28"/>
          <w:szCs w:val="28"/>
        </w:rPr>
        <w:t>借助网点的布局优势宣传</w:t>
      </w:r>
    </w:p>
    <w:p w:rsidR="006A46B5" w:rsidRPr="00DF4DCB" w:rsidRDefault="0019598F" w:rsidP="00DF4DCB">
      <w:pPr>
        <w:ind w:firstLineChars="200" w:firstLine="560"/>
        <w:rPr>
          <w:rFonts w:asciiTheme="minorEastAsia" w:eastAsiaTheme="minorEastAsia" w:hAnsiTheme="minorEastAsia" w:cs="宋体"/>
          <w:sz w:val="28"/>
          <w:szCs w:val="28"/>
        </w:rPr>
      </w:pPr>
      <w:r w:rsidRPr="00DF4DCB">
        <w:rPr>
          <w:rFonts w:asciiTheme="minorEastAsia" w:eastAsiaTheme="minorEastAsia" w:hAnsiTheme="minorEastAsia" w:cs="宋体" w:hint="eastAsia"/>
          <w:sz w:val="28"/>
          <w:szCs w:val="28"/>
        </w:rPr>
        <w:t>银行机构可借助其大量下属网点的布局优势，积极开展互联网汽车融资租赁宣传。不过在宣传推广过程中需要强调融资租赁物的所有权性质，加深消费者对这一业务的深刻了解，正确认识融资租赁模式。</w:t>
      </w:r>
    </w:p>
    <w:p w:rsidR="006A46B5" w:rsidRDefault="006A46B5" w:rsidP="006A46B5">
      <w:pPr>
        <w:ind w:firstLineChars="200" w:firstLine="560"/>
        <w:rPr>
          <w:rFonts w:ascii="黑体" w:eastAsia="黑体" w:hAnsi="黑体"/>
          <w:kern w:val="0"/>
          <w:sz w:val="28"/>
          <w:szCs w:val="28"/>
        </w:rPr>
      </w:pPr>
      <w:r>
        <w:rPr>
          <w:rFonts w:ascii="黑体" w:eastAsia="黑体" w:hAnsi="黑体" w:hint="eastAsia"/>
          <w:kern w:val="0"/>
          <w:sz w:val="28"/>
          <w:szCs w:val="28"/>
        </w:rPr>
        <w:t>3</w:t>
      </w:r>
      <w:r w:rsidRPr="00005AD7">
        <w:rPr>
          <w:rFonts w:ascii="黑体" w:eastAsia="黑体" w:hAnsi="黑体" w:hint="eastAsia"/>
          <w:kern w:val="0"/>
          <w:sz w:val="28"/>
          <w:szCs w:val="28"/>
        </w:rPr>
        <w:t>.</w:t>
      </w:r>
      <w:r w:rsidRPr="006A46B5">
        <w:rPr>
          <w:rFonts w:ascii="黑体" w:eastAsia="黑体" w:hAnsi="黑体" w:hint="eastAsia"/>
          <w:kern w:val="0"/>
          <w:sz w:val="28"/>
          <w:szCs w:val="28"/>
        </w:rPr>
        <w:t xml:space="preserve"> 信用等级评估</w:t>
      </w:r>
    </w:p>
    <w:p w:rsidR="00B63E29" w:rsidRPr="00DF4DCB" w:rsidRDefault="0019598F" w:rsidP="00DF4DCB">
      <w:pPr>
        <w:ind w:firstLineChars="200" w:firstLine="560"/>
        <w:rPr>
          <w:rFonts w:asciiTheme="minorEastAsia" w:eastAsiaTheme="minorEastAsia" w:hAnsiTheme="minorEastAsia" w:cs="宋体"/>
          <w:sz w:val="28"/>
          <w:szCs w:val="28"/>
        </w:rPr>
      </w:pPr>
      <w:r w:rsidRPr="00DF4DCB">
        <w:rPr>
          <w:rFonts w:asciiTheme="minorEastAsia" w:eastAsiaTheme="minorEastAsia" w:hAnsiTheme="minorEastAsia" w:cs="宋体" w:hint="eastAsia"/>
          <w:sz w:val="28"/>
          <w:szCs w:val="28"/>
        </w:rPr>
        <w:t>最后银行往往掌握大量客户信用资料，能够开展该项业务时提供相应的信用等级评估服务支持，尽量降低信用风险。</w:t>
      </w:r>
    </w:p>
    <w:sectPr w:rsidR="00B63E29" w:rsidRPr="00DF4DCB" w:rsidSect="003D21F7">
      <w:headerReference w:type="default" r:id="rId8"/>
      <w:footerReference w:type="even" r:id="rId9"/>
      <w:footerReference w:type="default" r:id="rId10"/>
      <w:pgSz w:w="11906" w:h="16838"/>
      <w:pgMar w:top="1440" w:right="1800" w:bottom="1440" w:left="1800" w:header="851" w:footer="851" w:gutter="0"/>
      <w:pgNumType w:start="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4E32" w:rsidRDefault="009E4E32">
      <w:r>
        <w:separator/>
      </w:r>
    </w:p>
  </w:endnote>
  <w:endnote w:type="continuationSeparator" w:id="0">
    <w:p w:rsidR="009E4E32" w:rsidRDefault="009E4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F7C" w:rsidRDefault="00FA31D5" w:rsidP="00FA31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A31D5" w:rsidRDefault="00FA31D5" w:rsidP="00FA31D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1D5" w:rsidRDefault="00FA31D5" w:rsidP="00FA31D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4E32" w:rsidRDefault="009E4E32">
      <w:r>
        <w:separator/>
      </w:r>
    </w:p>
  </w:footnote>
  <w:footnote w:type="continuationSeparator" w:id="0">
    <w:p w:rsidR="009E4E32" w:rsidRDefault="009E4E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1D5" w:rsidRDefault="00FA31D5" w:rsidP="00FA31D5">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6AF"/>
    <w:rsid w:val="00003761"/>
    <w:rsid w:val="00005AD7"/>
    <w:rsid w:val="00017053"/>
    <w:rsid w:val="000206AF"/>
    <w:rsid w:val="0003029D"/>
    <w:rsid w:val="00086C15"/>
    <w:rsid w:val="000B0AA7"/>
    <w:rsid w:val="000E333B"/>
    <w:rsid w:val="00105F8E"/>
    <w:rsid w:val="00136543"/>
    <w:rsid w:val="001462A1"/>
    <w:rsid w:val="00167E75"/>
    <w:rsid w:val="00172CFB"/>
    <w:rsid w:val="0019598F"/>
    <w:rsid w:val="001A73E3"/>
    <w:rsid w:val="001C3F8C"/>
    <w:rsid w:val="001C5B5A"/>
    <w:rsid w:val="001D434D"/>
    <w:rsid w:val="001F25F7"/>
    <w:rsid w:val="002223AA"/>
    <w:rsid w:val="0025165F"/>
    <w:rsid w:val="002563CB"/>
    <w:rsid w:val="0027311F"/>
    <w:rsid w:val="00295DAF"/>
    <w:rsid w:val="002C7711"/>
    <w:rsid w:val="002D0789"/>
    <w:rsid w:val="002D2336"/>
    <w:rsid w:val="002F21C0"/>
    <w:rsid w:val="00333D21"/>
    <w:rsid w:val="00344780"/>
    <w:rsid w:val="00357076"/>
    <w:rsid w:val="003665D9"/>
    <w:rsid w:val="00392120"/>
    <w:rsid w:val="003D17F1"/>
    <w:rsid w:val="003D21F7"/>
    <w:rsid w:val="00404896"/>
    <w:rsid w:val="004106E0"/>
    <w:rsid w:val="0045278B"/>
    <w:rsid w:val="00463FCF"/>
    <w:rsid w:val="00465BFB"/>
    <w:rsid w:val="0048638E"/>
    <w:rsid w:val="004C37A4"/>
    <w:rsid w:val="004C3DBD"/>
    <w:rsid w:val="004E7727"/>
    <w:rsid w:val="00507296"/>
    <w:rsid w:val="005267D2"/>
    <w:rsid w:val="00542FF5"/>
    <w:rsid w:val="00543075"/>
    <w:rsid w:val="005525E1"/>
    <w:rsid w:val="005A3AC0"/>
    <w:rsid w:val="005A73F1"/>
    <w:rsid w:val="0060078C"/>
    <w:rsid w:val="00603807"/>
    <w:rsid w:val="006139DA"/>
    <w:rsid w:val="006157DE"/>
    <w:rsid w:val="00667AAF"/>
    <w:rsid w:val="00673EE1"/>
    <w:rsid w:val="006749D1"/>
    <w:rsid w:val="00684291"/>
    <w:rsid w:val="006A46B5"/>
    <w:rsid w:val="006B0F9E"/>
    <w:rsid w:val="006E35BD"/>
    <w:rsid w:val="00703453"/>
    <w:rsid w:val="00707BEA"/>
    <w:rsid w:val="007122AB"/>
    <w:rsid w:val="0074068E"/>
    <w:rsid w:val="00745715"/>
    <w:rsid w:val="007650AE"/>
    <w:rsid w:val="007703F3"/>
    <w:rsid w:val="007C656F"/>
    <w:rsid w:val="007E71AE"/>
    <w:rsid w:val="00814CE9"/>
    <w:rsid w:val="008157D0"/>
    <w:rsid w:val="008355F3"/>
    <w:rsid w:val="0085116B"/>
    <w:rsid w:val="008579C9"/>
    <w:rsid w:val="008D64AC"/>
    <w:rsid w:val="008E2FD2"/>
    <w:rsid w:val="00942B51"/>
    <w:rsid w:val="00972CC9"/>
    <w:rsid w:val="009860ED"/>
    <w:rsid w:val="009906B3"/>
    <w:rsid w:val="00990EFE"/>
    <w:rsid w:val="009A0E62"/>
    <w:rsid w:val="009B5272"/>
    <w:rsid w:val="009D1EF9"/>
    <w:rsid w:val="009D4ADE"/>
    <w:rsid w:val="009D6219"/>
    <w:rsid w:val="009E4E32"/>
    <w:rsid w:val="009E6B3C"/>
    <w:rsid w:val="009F42E4"/>
    <w:rsid w:val="00A069BD"/>
    <w:rsid w:val="00A81B2E"/>
    <w:rsid w:val="00A82576"/>
    <w:rsid w:val="00AB386C"/>
    <w:rsid w:val="00AD2FEE"/>
    <w:rsid w:val="00AE5F7D"/>
    <w:rsid w:val="00B00082"/>
    <w:rsid w:val="00B05B6F"/>
    <w:rsid w:val="00B07E03"/>
    <w:rsid w:val="00B109CD"/>
    <w:rsid w:val="00B254BB"/>
    <w:rsid w:val="00B26F14"/>
    <w:rsid w:val="00B30717"/>
    <w:rsid w:val="00B440B7"/>
    <w:rsid w:val="00B63E29"/>
    <w:rsid w:val="00B71C1C"/>
    <w:rsid w:val="00B72430"/>
    <w:rsid w:val="00BD0721"/>
    <w:rsid w:val="00BE1DD2"/>
    <w:rsid w:val="00BE6B76"/>
    <w:rsid w:val="00BF36DC"/>
    <w:rsid w:val="00C5108D"/>
    <w:rsid w:val="00C5300B"/>
    <w:rsid w:val="00C56400"/>
    <w:rsid w:val="00C57C8E"/>
    <w:rsid w:val="00C64511"/>
    <w:rsid w:val="00C75282"/>
    <w:rsid w:val="00CA30AC"/>
    <w:rsid w:val="00D843DA"/>
    <w:rsid w:val="00DB208F"/>
    <w:rsid w:val="00DB6565"/>
    <w:rsid w:val="00DC7DBC"/>
    <w:rsid w:val="00DF4DCB"/>
    <w:rsid w:val="00E002CE"/>
    <w:rsid w:val="00E2236F"/>
    <w:rsid w:val="00E25070"/>
    <w:rsid w:val="00E502AB"/>
    <w:rsid w:val="00E537D4"/>
    <w:rsid w:val="00E565C1"/>
    <w:rsid w:val="00E60B66"/>
    <w:rsid w:val="00E915BD"/>
    <w:rsid w:val="00E97A86"/>
    <w:rsid w:val="00EE6015"/>
    <w:rsid w:val="00EE61A9"/>
    <w:rsid w:val="00EE7C88"/>
    <w:rsid w:val="00F07839"/>
    <w:rsid w:val="00F15B21"/>
    <w:rsid w:val="00F21F7C"/>
    <w:rsid w:val="00F44DB0"/>
    <w:rsid w:val="00F50875"/>
    <w:rsid w:val="00F56309"/>
    <w:rsid w:val="00F703AD"/>
    <w:rsid w:val="00F775FE"/>
    <w:rsid w:val="00F81A5A"/>
    <w:rsid w:val="00F81ED7"/>
    <w:rsid w:val="00F85F68"/>
    <w:rsid w:val="00FA31D5"/>
    <w:rsid w:val="00FB14C8"/>
    <w:rsid w:val="00FB3394"/>
    <w:rsid w:val="00FC0E53"/>
    <w:rsid w:val="00FE1FAF"/>
    <w:rsid w:val="00FE4D14"/>
    <w:rsid w:val="00FF0F83"/>
    <w:rsid w:val="00FF6C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6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0206AF"/>
    <w:pPr>
      <w:tabs>
        <w:tab w:val="center" w:pos="4153"/>
        <w:tab w:val="right" w:pos="8306"/>
      </w:tabs>
      <w:snapToGrid w:val="0"/>
      <w:jc w:val="left"/>
    </w:pPr>
    <w:rPr>
      <w:sz w:val="18"/>
      <w:szCs w:val="18"/>
    </w:rPr>
  </w:style>
  <w:style w:type="character" w:customStyle="1" w:styleId="Char">
    <w:name w:val="页脚 Char"/>
    <w:basedOn w:val="a0"/>
    <w:link w:val="a3"/>
    <w:rsid w:val="000206AF"/>
    <w:rPr>
      <w:rFonts w:ascii="Times New Roman" w:eastAsia="宋体" w:hAnsi="Times New Roman" w:cs="Times New Roman"/>
      <w:sz w:val="18"/>
      <w:szCs w:val="18"/>
    </w:rPr>
  </w:style>
  <w:style w:type="character" w:styleId="a4">
    <w:name w:val="page number"/>
    <w:basedOn w:val="a0"/>
    <w:rsid w:val="000206AF"/>
  </w:style>
  <w:style w:type="paragraph" w:styleId="a5">
    <w:name w:val="header"/>
    <w:basedOn w:val="a"/>
    <w:link w:val="Char0"/>
    <w:rsid w:val="000206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0206AF"/>
    <w:rPr>
      <w:rFonts w:ascii="Times New Roman" w:eastAsia="宋体" w:hAnsi="Times New Roman" w:cs="Times New Roman"/>
      <w:sz w:val="18"/>
      <w:szCs w:val="18"/>
    </w:rPr>
  </w:style>
  <w:style w:type="character" w:styleId="a6">
    <w:name w:val="Hyperlink"/>
    <w:basedOn w:val="a0"/>
    <w:uiPriority w:val="99"/>
    <w:unhideWhenUsed/>
    <w:rsid w:val="004106E0"/>
    <w:rPr>
      <w:color w:val="0000FF" w:themeColor="hyperlink"/>
      <w:u w:val="single"/>
    </w:rPr>
  </w:style>
  <w:style w:type="table" w:styleId="a7">
    <w:name w:val="Table Grid"/>
    <w:basedOn w:val="a1"/>
    <w:uiPriority w:val="59"/>
    <w:rsid w:val="007C65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6A46B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6A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0206AF"/>
    <w:pPr>
      <w:tabs>
        <w:tab w:val="center" w:pos="4153"/>
        <w:tab w:val="right" w:pos="8306"/>
      </w:tabs>
      <w:snapToGrid w:val="0"/>
      <w:jc w:val="left"/>
    </w:pPr>
    <w:rPr>
      <w:sz w:val="18"/>
      <w:szCs w:val="18"/>
    </w:rPr>
  </w:style>
  <w:style w:type="character" w:customStyle="1" w:styleId="Char">
    <w:name w:val="页脚 Char"/>
    <w:basedOn w:val="a0"/>
    <w:link w:val="a3"/>
    <w:rsid w:val="000206AF"/>
    <w:rPr>
      <w:rFonts w:ascii="Times New Roman" w:eastAsia="宋体" w:hAnsi="Times New Roman" w:cs="Times New Roman"/>
      <w:sz w:val="18"/>
      <w:szCs w:val="18"/>
    </w:rPr>
  </w:style>
  <w:style w:type="character" w:styleId="a4">
    <w:name w:val="page number"/>
    <w:basedOn w:val="a0"/>
    <w:rsid w:val="000206AF"/>
  </w:style>
  <w:style w:type="paragraph" w:styleId="a5">
    <w:name w:val="header"/>
    <w:basedOn w:val="a"/>
    <w:link w:val="Char0"/>
    <w:rsid w:val="000206A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0206AF"/>
    <w:rPr>
      <w:rFonts w:ascii="Times New Roman" w:eastAsia="宋体" w:hAnsi="Times New Roman" w:cs="Times New Roman"/>
      <w:sz w:val="18"/>
      <w:szCs w:val="18"/>
    </w:rPr>
  </w:style>
  <w:style w:type="character" w:styleId="a6">
    <w:name w:val="Hyperlink"/>
    <w:basedOn w:val="a0"/>
    <w:uiPriority w:val="99"/>
    <w:unhideWhenUsed/>
    <w:rsid w:val="004106E0"/>
    <w:rPr>
      <w:color w:val="0000FF" w:themeColor="hyperlink"/>
      <w:u w:val="single"/>
    </w:rPr>
  </w:style>
  <w:style w:type="table" w:styleId="a7">
    <w:name w:val="Table Grid"/>
    <w:basedOn w:val="a1"/>
    <w:uiPriority w:val="59"/>
    <w:rsid w:val="007C65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6A46B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599836">
      <w:bodyDiv w:val="1"/>
      <w:marLeft w:val="0"/>
      <w:marRight w:val="0"/>
      <w:marTop w:val="0"/>
      <w:marBottom w:val="0"/>
      <w:divBdr>
        <w:top w:val="none" w:sz="0" w:space="0" w:color="auto"/>
        <w:left w:val="none" w:sz="0" w:space="0" w:color="auto"/>
        <w:bottom w:val="none" w:sz="0" w:space="0" w:color="auto"/>
        <w:right w:val="none" w:sz="0" w:space="0" w:color="auto"/>
      </w:divBdr>
    </w:div>
    <w:div w:id="179779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69719-8485-40CC-9023-1F53EC613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8</Pages>
  <Words>577</Words>
  <Characters>3295</Characters>
  <Application>Microsoft Office Word</Application>
  <DocSecurity>0</DocSecurity>
  <Lines>27</Lines>
  <Paragraphs>7</Paragraphs>
  <ScaleCrop>false</ScaleCrop>
  <Company> </Company>
  <LinksUpToDate>false</LinksUpToDate>
  <CharactersWithSpaces>3865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jiyan</dc:creator>
  <cp:lastModifiedBy>命题</cp:lastModifiedBy>
  <cp:revision>110</cp:revision>
  <dcterms:created xsi:type="dcterms:W3CDTF">2013-11-24T06:23:00Z</dcterms:created>
  <dcterms:modified xsi:type="dcterms:W3CDTF">2022-11-26T12:40:00Z</dcterms:modified>
</cp:coreProperties>
</file>