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434" w:rsidRPr="005E2434" w:rsidRDefault="005E2434" w:rsidP="005E2434">
      <w:pPr>
        <w:jc w:val="center"/>
        <w:rPr>
          <w:sz w:val="44"/>
          <w:szCs w:val="44"/>
        </w:rPr>
      </w:pPr>
      <w:r w:rsidRPr="005E2434">
        <w:rPr>
          <w:rFonts w:hint="eastAsia"/>
          <w:sz w:val="44"/>
          <w:szCs w:val="44"/>
        </w:rPr>
        <w:t>新冠肺炎疫情对全球资产价格影响分析</w:t>
      </w:r>
    </w:p>
    <w:p w:rsidR="005E2434" w:rsidRPr="005E2434" w:rsidRDefault="00AC0E11" w:rsidP="005E2434">
      <w:pPr>
        <w:rPr>
          <w:rFonts w:ascii="黑体" w:eastAsia="黑体" w:hAnsi="黑体"/>
          <w:sz w:val="28"/>
          <w:szCs w:val="28"/>
        </w:rPr>
      </w:pPr>
      <w:r>
        <w:rPr>
          <w:rFonts w:ascii="黑体" w:eastAsia="黑体" w:hAnsi="黑体" w:hint="eastAsia"/>
          <w:sz w:val="28"/>
          <w:szCs w:val="28"/>
        </w:rPr>
        <w:t>一、</w:t>
      </w:r>
      <w:r w:rsidR="005E2434" w:rsidRPr="005E2434">
        <w:rPr>
          <w:rFonts w:ascii="黑体" w:eastAsia="黑体" w:hAnsi="黑体" w:hint="eastAsia"/>
          <w:sz w:val="28"/>
          <w:szCs w:val="28"/>
        </w:rPr>
        <w:t>疫情期间全球资产收益与波动表现</w:t>
      </w:r>
    </w:p>
    <w:p w:rsidR="005E2434" w:rsidRPr="005E2434" w:rsidRDefault="005E2434" w:rsidP="005E2434">
      <w:pPr>
        <w:rPr>
          <w:rFonts w:ascii="仿宋" w:eastAsia="仿宋" w:hAnsi="仿宋"/>
        </w:rPr>
      </w:pPr>
      <w:r w:rsidRPr="005E2434">
        <w:rPr>
          <w:rFonts w:ascii="仿宋" w:eastAsia="仿宋" w:hAnsi="仿宋" w:hint="eastAsia"/>
        </w:rPr>
        <w:t>新冠肺炎疫情暴发以来，全球资产受到冲击波动加剧。为了更好展现疫情冲击后全球资产收益与波动的变化，本文把</w:t>
      </w:r>
      <w:r w:rsidR="005B28A8" w:rsidRPr="005E2434">
        <w:rPr>
          <w:rFonts w:ascii="仿宋" w:eastAsia="仿宋" w:hAnsi="仿宋" w:hint="eastAsia"/>
        </w:rPr>
        <w:t>2020年</w:t>
      </w:r>
      <w:r w:rsidRPr="005E2434">
        <w:rPr>
          <w:rFonts w:ascii="仿宋" w:eastAsia="仿宋" w:hAnsi="仿宋" w:hint="eastAsia"/>
        </w:rPr>
        <w:t>2月22日前作为海外疫情潜伏期，把2月22日后作为海外疫情暴发期。</w:t>
      </w:r>
      <w:bookmarkStart w:id="0" w:name="_GoBack"/>
      <w:bookmarkEnd w:id="0"/>
      <w:r w:rsidRPr="005E2434">
        <w:rPr>
          <w:rFonts w:ascii="仿宋" w:eastAsia="仿宋" w:hAnsi="仿宋" w:hint="eastAsia"/>
        </w:rPr>
        <w:t>我们把每个时间段的资产收益率进行累计得知，全球股指在2月22日至3月20日期间均大幅下挫，美债收益率也出现大幅下跌，以布伦特原油为首的大宗商品也普遍出现大幅下跌。与此同时，美元指数大幅上涨2.47%。从海外疫情暴发后的第二个月起，3月20日至4月20日期间，股指市场出现明显的上修，但是国债、商品、汇率普跌较多，黄金则大幅上涨15.06%。在海外疫情暴发的第三个月，全球资产普遍企稳，商品补涨势头较好，股指次之，美债收益率跌幅放缓，出现企稳迹象。</w:t>
      </w:r>
    </w:p>
    <w:p w:rsidR="005E2434" w:rsidRPr="005E2434" w:rsidRDefault="005E2434" w:rsidP="005E2434">
      <w:pPr>
        <w:rPr>
          <w:rFonts w:ascii="仿宋" w:eastAsia="仿宋" w:hAnsi="仿宋"/>
        </w:rPr>
      </w:pPr>
      <w:r w:rsidRPr="005E2434">
        <w:rPr>
          <w:rFonts w:ascii="仿宋" w:eastAsia="仿宋" w:hAnsi="仿宋" w:hint="eastAsia"/>
        </w:rPr>
        <w:t>全球资产的波动</w:t>
      </w:r>
      <w:proofErr w:type="gramStart"/>
      <w:r w:rsidRPr="005E2434">
        <w:rPr>
          <w:rFonts w:ascii="仿宋" w:eastAsia="仿宋" w:hAnsi="仿宋" w:hint="eastAsia"/>
        </w:rPr>
        <w:t>率随着</w:t>
      </w:r>
      <w:proofErr w:type="gramEnd"/>
      <w:r w:rsidRPr="005E2434">
        <w:rPr>
          <w:rFonts w:ascii="仿宋" w:eastAsia="仿宋" w:hAnsi="仿宋" w:hint="eastAsia"/>
        </w:rPr>
        <w:t>疫情的发展呈现整体上行的态势。在海外疫情正式暴发后的一至两个月，受到“黑天鹅”事件的冲击，投资者对经济前景的不确定性产生了分歧，从而导致资产呈现高波动的状态。股指类受冲击较为明显，尤其</w:t>
      </w:r>
      <w:proofErr w:type="gramStart"/>
      <w:r w:rsidRPr="005E2434">
        <w:rPr>
          <w:rFonts w:ascii="仿宋" w:eastAsia="仿宋" w:hAnsi="仿宋" w:hint="eastAsia"/>
        </w:rPr>
        <w:t>是标普</w:t>
      </w:r>
      <w:proofErr w:type="gramEnd"/>
      <w:r w:rsidRPr="005E2434">
        <w:rPr>
          <w:rFonts w:ascii="仿宋" w:eastAsia="仿宋" w:hAnsi="仿宋" w:hint="eastAsia"/>
        </w:rPr>
        <w:t>500指数，随着美国疫情快速发展，</w:t>
      </w:r>
      <w:proofErr w:type="gramStart"/>
      <w:r w:rsidRPr="005E2434">
        <w:rPr>
          <w:rFonts w:ascii="仿宋" w:eastAsia="仿宋" w:hAnsi="仿宋" w:hint="eastAsia"/>
        </w:rPr>
        <w:t>标普</w:t>
      </w:r>
      <w:proofErr w:type="gramEnd"/>
      <w:r w:rsidRPr="005E2434">
        <w:rPr>
          <w:rFonts w:ascii="仿宋" w:eastAsia="仿宋" w:hAnsi="仿宋" w:hint="eastAsia"/>
        </w:rPr>
        <w:t>500指数在3月20日至4月20日期间平均波动率高达83.92%。CBOE恐慌指数VIX在3月18日达到了历史最高值85.47，这也反映出市场未来波动较大的特征。除此之外，欧洲发达国家股市的多空双方博弈加大，使得市场出现暴跌暴涨高波动现象。这一方面反映出市场对经济前景担忧，另一方面则反映出后疫情时期的逆周期调节政策带来的经济回暖的预期。</w:t>
      </w:r>
    </w:p>
    <w:p w:rsidR="005E2434" w:rsidRPr="005E2434" w:rsidRDefault="005E2434" w:rsidP="005E2434">
      <w:pPr>
        <w:rPr>
          <w:rFonts w:ascii="仿宋" w:eastAsia="仿宋" w:hAnsi="仿宋"/>
        </w:rPr>
      </w:pPr>
      <w:proofErr w:type="gramStart"/>
      <w:r w:rsidRPr="005E2434">
        <w:rPr>
          <w:rFonts w:ascii="仿宋" w:eastAsia="仿宋" w:hAnsi="仿宋" w:hint="eastAsia"/>
        </w:rPr>
        <w:t>2年期美债</w:t>
      </w:r>
      <w:proofErr w:type="gramEnd"/>
      <w:r w:rsidRPr="005E2434">
        <w:rPr>
          <w:rFonts w:ascii="仿宋" w:eastAsia="仿宋" w:hAnsi="仿宋" w:hint="eastAsia"/>
        </w:rPr>
        <w:t>收益率降幅比</w:t>
      </w:r>
      <w:proofErr w:type="gramStart"/>
      <w:r w:rsidRPr="005E2434">
        <w:rPr>
          <w:rFonts w:ascii="仿宋" w:eastAsia="仿宋" w:hAnsi="仿宋" w:hint="eastAsia"/>
        </w:rPr>
        <w:t>10年期美债</w:t>
      </w:r>
      <w:proofErr w:type="gramEnd"/>
      <w:r w:rsidRPr="005E2434">
        <w:rPr>
          <w:rFonts w:ascii="仿宋" w:eastAsia="仿宋" w:hAnsi="仿宋" w:hint="eastAsia"/>
        </w:rPr>
        <w:t>收益率要大，截至2020年5月20日，</w:t>
      </w:r>
      <w:proofErr w:type="gramStart"/>
      <w:r w:rsidRPr="005E2434">
        <w:rPr>
          <w:rFonts w:ascii="仿宋" w:eastAsia="仿宋" w:hAnsi="仿宋" w:hint="eastAsia"/>
        </w:rPr>
        <w:t>2年期美债</w:t>
      </w:r>
      <w:proofErr w:type="gramEnd"/>
      <w:r w:rsidRPr="005E2434">
        <w:rPr>
          <w:rFonts w:ascii="仿宋" w:eastAsia="仿宋" w:hAnsi="仿宋" w:hint="eastAsia"/>
        </w:rPr>
        <w:t>收益率跌至0.16%，而</w:t>
      </w:r>
      <w:proofErr w:type="gramStart"/>
      <w:r w:rsidRPr="005E2434">
        <w:rPr>
          <w:rFonts w:ascii="仿宋" w:eastAsia="仿宋" w:hAnsi="仿宋" w:hint="eastAsia"/>
        </w:rPr>
        <w:t>10年期美债</w:t>
      </w:r>
      <w:proofErr w:type="gramEnd"/>
      <w:r w:rsidRPr="005E2434">
        <w:rPr>
          <w:rFonts w:ascii="仿宋" w:eastAsia="仿宋" w:hAnsi="仿宋" w:hint="eastAsia"/>
        </w:rPr>
        <w:t>收益率跌至0.68%，且</w:t>
      </w:r>
      <w:proofErr w:type="gramStart"/>
      <w:r w:rsidRPr="005E2434">
        <w:rPr>
          <w:rFonts w:ascii="仿宋" w:eastAsia="仿宋" w:hAnsi="仿宋" w:hint="eastAsia"/>
        </w:rPr>
        <w:t>2年期美债</w:t>
      </w:r>
      <w:proofErr w:type="gramEnd"/>
      <w:r w:rsidRPr="005E2434">
        <w:rPr>
          <w:rFonts w:ascii="仿宋" w:eastAsia="仿宋" w:hAnsi="仿宋" w:hint="eastAsia"/>
        </w:rPr>
        <w:t>收益率波动比</w:t>
      </w:r>
      <w:proofErr w:type="gramStart"/>
      <w:r w:rsidRPr="005E2434">
        <w:rPr>
          <w:rFonts w:ascii="仿宋" w:eastAsia="仿宋" w:hAnsi="仿宋" w:hint="eastAsia"/>
        </w:rPr>
        <w:t>10年期美债</w:t>
      </w:r>
      <w:proofErr w:type="gramEnd"/>
      <w:r w:rsidRPr="005E2434">
        <w:rPr>
          <w:rFonts w:ascii="仿宋" w:eastAsia="仿宋" w:hAnsi="仿宋" w:hint="eastAsia"/>
        </w:rPr>
        <w:t>收益率波动大。这反映出市场对疫情冲击美国经济的担忧，避险情绪提升使得资金</w:t>
      </w:r>
      <w:proofErr w:type="gramStart"/>
      <w:r w:rsidRPr="005E2434">
        <w:rPr>
          <w:rFonts w:ascii="仿宋" w:eastAsia="仿宋" w:hAnsi="仿宋" w:hint="eastAsia"/>
        </w:rPr>
        <w:t>追逐低</w:t>
      </w:r>
      <w:proofErr w:type="gramEnd"/>
      <w:r w:rsidRPr="005E2434">
        <w:rPr>
          <w:rFonts w:ascii="仿宋" w:eastAsia="仿宋" w:hAnsi="仿宋" w:hint="eastAsia"/>
        </w:rPr>
        <w:t>风险的美国国债，尤其是对短期的经济更为担忧使得短期美债收益率出现大幅下跌。但是，对于长期的美债而言，后疫情时代经济或出现较好的回暖，远期的美债收益率跌幅较小也反映出市场对长期经济向好的信心。</w:t>
      </w:r>
    </w:p>
    <w:p w:rsidR="005E2434" w:rsidRPr="005E2434" w:rsidRDefault="00AC0E11" w:rsidP="005E2434">
      <w:pPr>
        <w:rPr>
          <w:rFonts w:ascii="黑体" w:eastAsia="黑体" w:hAnsi="黑体"/>
          <w:sz w:val="28"/>
          <w:szCs w:val="28"/>
        </w:rPr>
      </w:pPr>
      <w:r>
        <w:rPr>
          <w:rFonts w:ascii="黑体" w:eastAsia="黑体" w:hAnsi="黑体" w:hint="eastAsia"/>
          <w:sz w:val="28"/>
          <w:szCs w:val="28"/>
        </w:rPr>
        <w:t>二、</w:t>
      </w:r>
      <w:r w:rsidR="005E2434" w:rsidRPr="005E2434">
        <w:rPr>
          <w:rFonts w:ascii="黑体" w:eastAsia="黑体" w:hAnsi="黑体" w:hint="eastAsia"/>
          <w:sz w:val="28"/>
          <w:szCs w:val="28"/>
        </w:rPr>
        <w:t>疫情发展与全球资产波动的动态变化</w:t>
      </w:r>
    </w:p>
    <w:p w:rsidR="005E2434" w:rsidRPr="005E2434" w:rsidRDefault="005E2434" w:rsidP="005E2434">
      <w:pPr>
        <w:rPr>
          <w:rFonts w:ascii="仿宋" w:eastAsia="仿宋" w:hAnsi="仿宋"/>
        </w:rPr>
      </w:pPr>
      <w:r w:rsidRPr="005E2434">
        <w:rPr>
          <w:rFonts w:ascii="仿宋" w:eastAsia="仿宋" w:hAnsi="仿宋" w:hint="eastAsia"/>
        </w:rPr>
        <w:t>疫情新增病例数是判断疫情发展情况的重要指标，新增病例数越多，说明疫情发展较为悲观，反之，则乐观。我们通过对比疫情新增病例数与资产波动率，发现不同资产的波动与疫情发展呈现不同的时滞。</w:t>
      </w:r>
    </w:p>
    <w:p w:rsidR="005E2434" w:rsidRPr="002F73DE" w:rsidRDefault="005E2434" w:rsidP="005E2434">
      <w:pPr>
        <w:rPr>
          <w:rFonts w:ascii="微软雅黑" w:eastAsia="微软雅黑" w:hAnsi="微软雅黑"/>
          <w:i/>
        </w:rPr>
      </w:pPr>
      <w:r w:rsidRPr="002F73DE">
        <w:rPr>
          <w:rFonts w:ascii="微软雅黑" w:eastAsia="微软雅黑" w:hAnsi="微软雅黑" w:hint="eastAsia"/>
          <w:i/>
        </w:rPr>
        <w:t>（一）疫情发展与股市波动的动态变化</w:t>
      </w:r>
    </w:p>
    <w:p w:rsidR="005E2434" w:rsidRPr="005E2434" w:rsidRDefault="005E2434" w:rsidP="005E2434">
      <w:pPr>
        <w:rPr>
          <w:rFonts w:ascii="仿宋" w:eastAsia="仿宋" w:hAnsi="仿宋"/>
        </w:rPr>
      </w:pPr>
      <w:proofErr w:type="gramStart"/>
      <w:r w:rsidRPr="005E2434">
        <w:rPr>
          <w:rFonts w:ascii="仿宋" w:eastAsia="仿宋" w:hAnsi="仿宋" w:hint="eastAsia"/>
        </w:rPr>
        <w:t>标普</w:t>
      </w:r>
      <w:proofErr w:type="gramEnd"/>
      <w:r w:rsidRPr="005E2434">
        <w:rPr>
          <w:rFonts w:ascii="仿宋" w:eastAsia="仿宋" w:hAnsi="仿宋" w:hint="eastAsia"/>
        </w:rPr>
        <w:t>500指数的波动率开始明显的上升出现在海外疫情暴发后，尤其是在2月22日至3月20日期间攀升较为显著。而美国疫情新增病例的增长是滞后</w:t>
      </w:r>
      <w:proofErr w:type="gramStart"/>
      <w:r w:rsidRPr="005E2434">
        <w:rPr>
          <w:rFonts w:ascii="仿宋" w:eastAsia="仿宋" w:hAnsi="仿宋" w:hint="eastAsia"/>
        </w:rPr>
        <w:t>于标普</w:t>
      </w:r>
      <w:proofErr w:type="gramEnd"/>
      <w:r w:rsidRPr="005E2434">
        <w:rPr>
          <w:rFonts w:ascii="仿宋" w:eastAsia="仿宋" w:hAnsi="仿宋" w:hint="eastAsia"/>
        </w:rPr>
        <w:t>500指数的波动率，从时间点来看滞后近一个月，但趋势是一致的。</w:t>
      </w:r>
      <w:proofErr w:type="gramStart"/>
      <w:r w:rsidRPr="005E2434">
        <w:rPr>
          <w:rFonts w:ascii="仿宋" w:eastAsia="仿宋" w:hAnsi="仿宋" w:hint="eastAsia"/>
        </w:rPr>
        <w:t>标普</w:t>
      </w:r>
      <w:proofErr w:type="gramEnd"/>
      <w:r w:rsidRPr="005E2434">
        <w:rPr>
          <w:rFonts w:ascii="仿宋" w:eastAsia="仿宋" w:hAnsi="仿宋" w:hint="eastAsia"/>
        </w:rPr>
        <w:t>500指数的高位出现拐点先于疫情新增的拐点，此外可以发现波动率逐渐下降，疫情新增病例也呈现“滞涨”后回落。</w:t>
      </w:r>
    </w:p>
    <w:p w:rsidR="005E2434" w:rsidRPr="005E2434" w:rsidRDefault="005E2434" w:rsidP="005E2434">
      <w:pPr>
        <w:rPr>
          <w:rFonts w:ascii="仿宋" w:eastAsia="仿宋" w:hAnsi="仿宋"/>
        </w:rPr>
      </w:pPr>
      <w:r w:rsidRPr="005E2434">
        <w:rPr>
          <w:rFonts w:ascii="仿宋" w:eastAsia="仿宋" w:hAnsi="仿宋" w:hint="eastAsia"/>
        </w:rPr>
        <w:t>日经225指数的波动率的上升出现在海外疫情暴发后，尤其是在3月20日至4月20日期间攀升较为显著。而日本疫情新增病例走势和日经225指数的波动</w:t>
      </w:r>
      <w:proofErr w:type="gramStart"/>
      <w:r w:rsidRPr="005E2434">
        <w:rPr>
          <w:rFonts w:ascii="仿宋" w:eastAsia="仿宋" w:hAnsi="仿宋" w:hint="eastAsia"/>
        </w:rPr>
        <w:t>率走势</w:t>
      </w:r>
      <w:proofErr w:type="gramEnd"/>
      <w:r w:rsidRPr="005E2434">
        <w:rPr>
          <w:rFonts w:ascii="仿宋" w:eastAsia="仿宋" w:hAnsi="仿宋" w:hint="eastAsia"/>
        </w:rPr>
        <w:t>基本同步，时滞较短。而且我们发现，日本的疫情从暴发到控制的时间非常短，疫情控制效果较好，日经225指数波动率的高峰随着新增病例的高峰后逐步下降。</w:t>
      </w:r>
    </w:p>
    <w:p w:rsidR="005E2434" w:rsidRPr="005E2434" w:rsidRDefault="005E2434" w:rsidP="005E2434">
      <w:pPr>
        <w:rPr>
          <w:rFonts w:ascii="仿宋" w:eastAsia="仿宋" w:hAnsi="仿宋"/>
        </w:rPr>
      </w:pPr>
      <w:r w:rsidRPr="005E2434">
        <w:rPr>
          <w:rFonts w:ascii="仿宋" w:eastAsia="仿宋" w:hAnsi="仿宋" w:hint="eastAsia"/>
        </w:rPr>
        <w:t>韩国是海外疫情暴发最早的国家，而且速度较快，但是控制也很快。2月下旬到3月初，韩国疫情新增病例激增，高峰达近千人，随后疫情得到快速控制，从暴发到有效控制的时间仅有一个月。韩国综合股价200指数波动率变化要滞后于韩国疫情发展，但其波动</w:t>
      </w:r>
      <w:proofErr w:type="gramStart"/>
      <w:r w:rsidRPr="005E2434">
        <w:rPr>
          <w:rFonts w:ascii="仿宋" w:eastAsia="仿宋" w:hAnsi="仿宋" w:hint="eastAsia"/>
        </w:rPr>
        <w:t>率表现</w:t>
      </w:r>
      <w:proofErr w:type="gramEnd"/>
      <w:r w:rsidRPr="005E2434">
        <w:rPr>
          <w:rFonts w:ascii="仿宋" w:eastAsia="仿宋" w:hAnsi="仿宋" w:hint="eastAsia"/>
        </w:rPr>
        <w:t>与日经225指数走势基本一致。</w:t>
      </w:r>
    </w:p>
    <w:p w:rsidR="005E2434" w:rsidRPr="005E2434" w:rsidRDefault="005E2434" w:rsidP="005E2434">
      <w:pPr>
        <w:rPr>
          <w:rFonts w:ascii="仿宋" w:eastAsia="仿宋" w:hAnsi="仿宋"/>
        </w:rPr>
      </w:pPr>
      <w:r w:rsidRPr="005E2434">
        <w:rPr>
          <w:rFonts w:ascii="仿宋" w:eastAsia="仿宋" w:hAnsi="仿宋" w:hint="eastAsia"/>
        </w:rPr>
        <w:lastRenderedPageBreak/>
        <w:t>德国疫情暴发大致从3月初开始，其新增病例出现快速上涨，4月之后逐渐回落，5月得到有效控制。德国DAX指数的波动率上涨领先于疫情发展，但时滞相差大致1周，整体趋势较为一致。尤其疫情发展的拐点出现滞后，德国DAX指数波动率也出现相应拐点，两者走势吻合度较高。</w:t>
      </w:r>
    </w:p>
    <w:p w:rsidR="005E2434" w:rsidRPr="005E2434" w:rsidRDefault="005E2434" w:rsidP="005E2434">
      <w:pPr>
        <w:rPr>
          <w:rFonts w:ascii="仿宋" w:eastAsia="仿宋" w:hAnsi="仿宋"/>
        </w:rPr>
      </w:pPr>
      <w:r w:rsidRPr="005E2434">
        <w:rPr>
          <w:rFonts w:ascii="仿宋" w:eastAsia="仿宋" w:hAnsi="仿宋" w:hint="eastAsia"/>
        </w:rPr>
        <w:t>英国疫情的暴发从3月下旬开始，晚于德国，疫情控制情况好于</w:t>
      </w:r>
      <w:proofErr w:type="gramStart"/>
      <w:r w:rsidRPr="005E2434">
        <w:rPr>
          <w:rFonts w:ascii="仿宋" w:eastAsia="仿宋" w:hAnsi="仿宋" w:hint="eastAsia"/>
        </w:rPr>
        <w:t>美国但逊于</w:t>
      </w:r>
      <w:proofErr w:type="gramEnd"/>
      <w:r w:rsidRPr="005E2434">
        <w:rPr>
          <w:rFonts w:ascii="仿宋" w:eastAsia="仿宋" w:hAnsi="仿宋" w:hint="eastAsia"/>
        </w:rPr>
        <w:t>德国。英国富时100指数的波动率领先于疫情发展近1个月，走势与其他欧美发达国家基本一致。英国富时100指数波动幅度大于日本、韩国股市，但小于美国股市，这与疫情发展情况较为密切。疫情得到较好控制的国家，股市波动相对较少，控制不当的国家，股市波动较大。</w:t>
      </w:r>
    </w:p>
    <w:p w:rsidR="005E2434" w:rsidRPr="002F73DE" w:rsidRDefault="005E2434" w:rsidP="005E2434">
      <w:pPr>
        <w:rPr>
          <w:rFonts w:ascii="微软雅黑" w:eastAsia="微软雅黑" w:hAnsi="微软雅黑"/>
          <w:i/>
        </w:rPr>
      </w:pPr>
      <w:r w:rsidRPr="002F73DE">
        <w:rPr>
          <w:rFonts w:ascii="微软雅黑" w:eastAsia="微软雅黑" w:hAnsi="微软雅黑" w:hint="eastAsia"/>
          <w:i/>
        </w:rPr>
        <w:t>（二）疫情发展与美债收益率波动的动态变化</w:t>
      </w:r>
    </w:p>
    <w:p w:rsidR="005E2434" w:rsidRPr="005E2434" w:rsidRDefault="005E2434" w:rsidP="005E2434">
      <w:pPr>
        <w:rPr>
          <w:rFonts w:ascii="仿宋" w:eastAsia="仿宋" w:hAnsi="仿宋"/>
        </w:rPr>
      </w:pPr>
      <w:proofErr w:type="gramStart"/>
      <w:r w:rsidRPr="005E2434">
        <w:rPr>
          <w:rFonts w:ascii="仿宋" w:eastAsia="仿宋" w:hAnsi="仿宋" w:hint="eastAsia"/>
        </w:rPr>
        <w:t>2年期美债</w:t>
      </w:r>
      <w:proofErr w:type="gramEnd"/>
      <w:r w:rsidRPr="005E2434">
        <w:rPr>
          <w:rFonts w:ascii="仿宋" w:eastAsia="仿宋" w:hAnsi="仿宋" w:hint="eastAsia"/>
        </w:rPr>
        <w:t>收益率的波动领先于美国疫情发展，且随着疫情达到高峰之后，</w:t>
      </w:r>
      <w:proofErr w:type="gramStart"/>
      <w:r w:rsidRPr="005E2434">
        <w:rPr>
          <w:rFonts w:ascii="仿宋" w:eastAsia="仿宋" w:hAnsi="仿宋" w:hint="eastAsia"/>
        </w:rPr>
        <w:t>2年期美债</w:t>
      </w:r>
      <w:proofErr w:type="gramEnd"/>
      <w:r w:rsidRPr="005E2434">
        <w:rPr>
          <w:rFonts w:ascii="仿宋" w:eastAsia="仿宋" w:hAnsi="仿宋" w:hint="eastAsia"/>
        </w:rPr>
        <w:t>收益率波动率随之下降。但是我们发现，</w:t>
      </w:r>
      <w:proofErr w:type="gramStart"/>
      <w:r w:rsidRPr="005E2434">
        <w:rPr>
          <w:rFonts w:ascii="仿宋" w:eastAsia="仿宋" w:hAnsi="仿宋" w:hint="eastAsia"/>
        </w:rPr>
        <w:t>2年期美债</w:t>
      </w:r>
      <w:proofErr w:type="gramEnd"/>
      <w:r w:rsidRPr="005E2434">
        <w:rPr>
          <w:rFonts w:ascii="仿宋" w:eastAsia="仿宋" w:hAnsi="仿宋" w:hint="eastAsia"/>
        </w:rPr>
        <w:t>收益率波动放缓更多是由于下行空间越来越有限，其下跌最猛的阶段是在2月中旬到3月初，随之维持低位运行。疫情的蔓延超出了市场预期，对经济的影响存在较大的不确定性，现阶段美债收益率较低或维持较长时间。</w:t>
      </w:r>
    </w:p>
    <w:p w:rsidR="005E2434" w:rsidRPr="002F73DE" w:rsidRDefault="005E2434" w:rsidP="005E2434">
      <w:pPr>
        <w:rPr>
          <w:rFonts w:ascii="微软雅黑" w:eastAsia="微软雅黑" w:hAnsi="微软雅黑"/>
          <w:i/>
        </w:rPr>
      </w:pPr>
      <w:r w:rsidRPr="002F73DE">
        <w:rPr>
          <w:rFonts w:ascii="微软雅黑" w:eastAsia="微软雅黑" w:hAnsi="微软雅黑" w:hint="eastAsia"/>
          <w:i/>
        </w:rPr>
        <w:t>（三）疫情发展与大宗商品的动态变化</w:t>
      </w:r>
    </w:p>
    <w:p w:rsidR="005E2434" w:rsidRPr="005E2434" w:rsidRDefault="005E2434" w:rsidP="005E2434">
      <w:pPr>
        <w:rPr>
          <w:rFonts w:ascii="仿宋" w:eastAsia="仿宋" w:hAnsi="仿宋"/>
        </w:rPr>
      </w:pPr>
      <w:r w:rsidRPr="005E2434">
        <w:rPr>
          <w:rFonts w:ascii="仿宋" w:eastAsia="仿宋" w:hAnsi="仿宋" w:hint="eastAsia"/>
        </w:rPr>
        <w:t>疫情的快速蔓延对原油需求冲击形成较大的影响，叠加其间全球石油市场供应较多，使得原油一路下跌。波动</w:t>
      </w:r>
      <w:proofErr w:type="gramStart"/>
      <w:r w:rsidRPr="005E2434">
        <w:rPr>
          <w:rFonts w:ascii="仿宋" w:eastAsia="仿宋" w:hAnsi="仿宋" w:hint="eastAsia"/>
        </w:rPr>
        <w:t>率表现</w:t>
      </w:r>
      <w:proofErr w:type="gramEnd"/>
      <w:r w:rsidRPr="005E2434">
        <w:rPr>
          <w:rFonts w:ascii="仿宋" w:eastAsia="仿宋" w:hAnsi="仿宋" w:hint="eastAsia"/>
        </w:rPr>
        <w:t>方面，ICE布伦</w:t>
      </w:r>
      <w:proofErr w:type="gramStart"/>
      <w:r w:rsidRPr="005E2434">
        <w:rPr>
          <w:rFonts w:ascii="仿宋" w:eastAsia="仿宋" w:hAnsi="仿宋" w:hint="eastAsia"/>
        </w:rPr>
        <w:t>特</w:t>
      </w:r>
      <w:proofErr w:type="gramEnd"/>
      <w:r w:rsidRPr="005E2434">
        <w:rPr>
          <w:rFonts w:ascii="仿宋" w:eastAsia="仿宋" w:hAnsi="仿宋" w:hint="eastAsia"/>
        </w:rPr>
        <w:t>原油波动率与全球疫情的发展基本同步，当前全球疫情仍处于持续蔓延的阶段，布伦</w:t>
      </w:r>
      <w:proofErr w:type="gramStart"/>
      <w:r w:rsidRPr="005E2434">
        <w:rPr>
          <w:rFonts w:ascii="仿宋" w:eastAsia="仿宋" w:hAnsi="仿宋" w:hint="eastAsia"/>
        </w:rPr>
        <w:t>特</w:t>
      </w:r>
      <w:proofErr w:type="gramEnd"/>
      <w:r w:rsidRPr="005E2434">
        <w:rPr>
          <w:rFonts w:ascii="仿宋" w:eastAsia="仿宋" w:hAnsi="仿宋" w:hint="eastAsia"/>
        </w:rPr>
        <w:t>原油的波动也处在高位运行，尤其是步入3月之后，国际原油出现大幅下跌，波动率直</w:t>
      </w:r>
      <w:proofErr w:type="gramStart"/>
      <w:r w:rsidRPr="005E2434">
        <w:rPr>
          <w:rFonts w:ascii="仿宋" w:eastAsia="仿宋" w:hAnsi="仿宋" w:hint="eastAsia"/>
        </w:rPr>
        <w:t>飙</w:t>
      </w:r>
      <w:proofErr w:type="gramEnd"/>
      <w:r w:rsidRPr="005E2434">
        <w:rPr>
          <w:rFonts w:ascii="仿宋" w:eastAsia="仿宋" w:hAnsi="仿宋" w:hint="eastAsia"/>
        </w:rPr>
        <w:t>至100%以上的水平。由于海外疫情发展的不确定性，市场对全球经济担忧仍存，原油短期或维持高波动的态势。</w:t>
      </w:r>
    </w:p>
    <w:p w:rsidR="005E2434" w:rsidRPr="005E2434" w:rsidRDefault="005E2434" w:rsidP="005E2434">
      <w:pPr>
        <w:rPr>
          <w:rFonts w:ascii="仿宋" w:eastAsia="仿宋" w:hAnsi="仿宋"/>
        </w:rPr>
      </w:pPr>
      <w:r w:rsidRPr="005E2434">
        <w:rPr>
          <w:rFonts w:ascii="仿宋" w:eastAsia="仿宋" w:hAnsi="仿宋" w:hint="eastAsia"/>
        </w:rPr>
        <w:t>LME铜的波动率在2020年1月至5月期间出现“双峰”的形态，这是与其他资产有所不同的。细看可以发现，“首峰”的出现是在国内春节假期之后，由于如今我国铜消费量占全球铜消费超过50%，国内经济和</w:t>
      </w:r>
      <w:proofErr w:type="gramStart"/>
      <w:r w:rsidRPr="005E2434">
        <w:rPr>
          <w:rFonts w:ascii="仿宋" w:eastAsia="仿宋" w:hAnsi="仿宋" w:hint="eastAsia"/>
        </w:rPr>
        <w:t>铜的</w:t>
      </w:r>
      <w:proofErr w:type="gramEnd"/>
      <w:r w:rsidRPr="005E2434">
        <w:rPr>
          <w:rFonts w:ascii="仿宋" w:eastAsia="仿宋" w:hAnsi="仿宋" w:hint="eastAsia"/>
        </w:rPr>
        <w:t>动向势必影响国际铜价。“次峰”出现海外疫情暴发期间，尤其是在欧美地区疫情暴发期间，LME铜的波动率上升与疫情发展走势吻合度较高。但随着亚太地区疫情得到较好控制，4月以来，市场对国内经济回暖充满信心，铜价持续反弹，波动率随之逐渐回落。</w:t>
      </w:r>
    </w:p>
    <w:p w:rsidR="005E2434" w:rsidRPr="005E2434" w:rsidRDefault="005E2434" w:rsidP="005E2434">
      <w:pPr>
        <w:rPr>
          <w:rFonts w:ascii="仿宋" w:eastAsia="仿宋" w:hAnsi="仿宋"/>
        </w:rPr>
      </w:pPr>
      <w:r w:rsidRPr="005E2434">
        <w:rPr>
          <w:rFonts w:ascii="仿宋" w:eastAsia="仿宋" w:hAnsi="仿宋" w:hint="eastAsia"/>
        </w:rPr>
        <w:t>CBOT大豆在疫情期间出现两次较大波动，第一次是在国内疫情暴发时期，第二次是海外疫情暴发期间。CBOT大豆波动与海外疫情暴发走势吻合度更高。在大豆需求端方面，投资者主要担忧疫情影响需求国对大豆的进口。而疫情的冲击其实对大豆运输业影响有限，国内市场，从二季度的大豆进口来看，到港量依旧较大，加上巴西产量维持增产预期，</w:t>
      </w:r>
      <w:proofErr w:type="gramStart"/>
      <w:r w:rsidRPr="005E2434">
        <w:rPr>
          <w:rFonts w:ascii="仿宋" w:eastAsia="仿宋" w:hAnsi="仿宋" w:hint="eastAsia"/>
        </w:rPr>
        <w:t>美豆出口</w:t>
      </w:r>
      <w:proofErr w:type="gramEnd"/>
      <w:r w:rsidRPr="005E2434">
        <w:rPr>
          <w:rFonts w:ascii="仿宋" w:eastAsia="仿宋" w:hAnsi="仿宋" w:hint="eastAsia"/>
        </w:rPr>
        <w:t>空间有限，</w:t>
      </w:r>
      <w:proofErr w:type="gramStart"/>
      <w:r w:rsidRPr="005E2434">
        <w:rPr>
          <w:rFonts w:ascii="仿宋" w:eastAsia="仿宋" w:hAnsi="仿宋" w:hint="eastAsia"/>
        </w:rPr>
        <w:t>美豆承压</w:t>
      </w:r>
      <w:proofErr w:type="gramEnd"/>
      <w:r w:rsidRPr="005E2434">
        <w:rPr>
          <w:rFonts w:ascii="仿宋" w:eastAsia="仿宋" w:hAnsi="仿宋" w:hint="eastAsia"/>
        </w:rPr>
        <w:t>运行。此外，海外疫情暴发时期，国际原油暴跌引发市场恐慌从而担忧生物柴油需求下跌，进而引发</w:t>
      </w:r>
      <w:proofErr w:type="gramStart"/>
      <w:r w:rsidRPr="005E2434">
        <w:rPr>
          <w:rFonts w:ascii="仿宋" w:eastAsia="仿宋" w:hAnsi="仿宋" w:hint="eastAsia"/>
        </w:rPr>
        <w:t>美豆需求</w:t>
      </w:r>
      <w:proofErr w:type="gramEnd"/>
      <w:r w:rsidRPr="005E2434">
        <w:rPr>
          <w:rFonts w:ascii="仿宋" w:eastAsia="仿宋" w:hAnsi="仿宋" w:hint="eastAsia"/>
        </w:rPr>
        <w:t>下降。因此，CBOT大豆在海外疫情暴发期间呈现承压高波动运行的态势。</w:t>
      </w:r>
    </w:p>
    <w:p w:rsidR="005E2434" w:rsidRPr="005E2434" w:rsidRDefault="005E2434" w:rsidP="005E2434">
      <w:pPr>
        <w:rPr>
          <w:rFonts w:ascii="仿宋" w:eastAsia="仿宋" w:hAnsi="仿宋"/>
        </w:rPr>
      </w:pPr>
      <w:r w:rsidRPr="005E2434">
        <w:rPr>
          <w:rFonts w:ascii="仿宋" w:eastAsia="仿宋" w:hAnsi="仿宋" w:hint="eastAsia"/>
        </w:rPr>
        <w:t>SGX铁矿石的波动率在疫情期间呈现“双峰”形态，但是第一峰高于第二峰。在1—2月，尤其是春节假期之后2月3日出现大幅下跌，反映出市场对疫情引起的铁矿石需求下降产生担忧。海外疫情正式暴发之后，国内疫情逐步得到缓解，此时市场扰动逐步转移到海外的供需层面，而供应端的扰动更令市场感到担忧。在此阶段铁矿石价格走势以宽幅振荡为主，后铁矿石供应大国巴西疫情逐渐暴发，SGX铁矿石在5月开启了单边上涨的趋势，但是收益波动相比一季度有所减少，所以我们看到的SGX铁矿石在5月期间反而是变小的。</w:t>
      </w:r>
    </w:p>
    <w:p w:rsidR="005E2434" w:rsidRPr="002F73DE" w:rsidRDefault="005E2434" w:rsidP="005E2434">
      <w:pPr>
        <w:rPr>
          <w:rFonts w:ascii="微软雅黑" w:eastAsia="微软雅黑" w:hAnsi="微软雅黑"/>
          <w:i/>
        </w:rPr>
      </w:pPr>
      <w:r w:rsidRPr="002F73DE">
        <w:rPr>
          <w:rFonts w:ascii="微软雅黑" w:eastAsia="微软雅黑" w:hAnsi="微软雅黑" w:hint="eastAsia"/>
          <w:i/>
        </w:rPr>
        <w:t>（四）疫情发展与美元指数波动的动态变化</w:t>
      </w:r>
    </w:p>
    <w:p w:rsidR="005E2434" w:rsidRPr="005E2434" w:rsidRDefault="005E2434" w:rsidP="005E2434">
      <w:pPr>
        <w:rPr>
          <w:rFonts w:ascii="仿宋" w:eastAsia="仿宋" w:hAnsi="仿宋"/>
        </w:rPr>
      </w:pPr>
      <w:r w:rsidRPr="005E2434">
        <w:rPr>
          <w:rFonts w:ascii="仿宋" w:eastAsia="仿宋" w:hAnsi="仿宋" w:hint="eastAsia"/>
        </w:rPr>
        <w:t>美元在海外疫情暴发后快速走低，但在美国疫情暴发之后快速上涨，造成巨大波动。美元的波动率跟随着疫情的发展而变化，也呈现一定程度的趋同性。从目前来看，海外疫情拐点仍</w:t>
      </w:r>
      <w:r w:rsidRPr="005E2434">
        <w:rPr>
          <w:rFonts w:ascii="仿宋" w:eastAsia="仿宋" w:hAnsi="仿宋" w:hint="eastAsia"/>
        </w:rPr>
        <w:lastRenderedPageBreak/>
        <w:t>然无法明确，市场对其他资产收益感到担忧，避险情绪的上升使得投资者更加青睐保值的美元和黄金资产。短期来看，美元或保持振荡态势，其波动率维持缓和的态势。</w:t>
      </w:r>
    </w:p>
    <w:p w:rsidR="005E2434" w:rsidRPr="005E2434" w:rsidRDefault="00AC0E11" w:rsidP="005E2434">
      <w:pPr>
        <w:rPr>
          <w:rFonts w:ascii="黑体" w:eastAsia="黑体" w:hAnsi="黑体"/>
          <w:sz w:val="28"/>
          <w:szCs w:val="28"/>
        </w:rPr>
      </w:pPr>
      <w:r>
        <w:rPr>
          <w:rFonts w:ascii="黑体" w:eastAsia="黑体" w:hAnsi="黑体" w:hint="eastAsia"/>
          <w:sz w:val="28"/>
          <w:szCs w:val="28"/>
        </w:rPr>
        <w:t>三、</w:t>
      </w:r>
      <w:r w:rsidR="005E2434" w:rsidRPr="005E2434">
        <w:rPr>
          <w:rFonts w:ascii="黑体" w:eastAsia="黑体" w:hAnsi="黑体" w:hint="eastAsia"/>
          <w:sz w:val="28"/>
          <w:szCs w:val="28"/>
        </w:rPr>
        <w:t>后疫情时代全球资产波动展望</w:t>
      </w:r>
    </w:p>
    <w:p w:rsidR="005E2434" w:rsidRPr="005E2434" w:rsidRDefault="005E2434" w:rsidP="005E2434">
      <w:pPr>
        <w:rPr>
          <w:rFonts w:ascii="仿宋" w:eastAsia="仿宋" w:hAnsi="仿宋"/>
        </w:rPr>
      </w:pPr>
      <w:r w:rsidRPr="005E2434">
        <w:rPr>
          <w:rFonts w:ascii="仿宋" w:eastAsia="仿宋" w:hAnsi="仿宋" w:hint="eastAsia"/>
        </w:rPr>
        <w:t>从当前海外疫情的发展来看，疫情的拐点尚未明确，其中美国和巴西疫情形势较为严峻，这将加大世界经济的不确定。不确定性的加大将引起资产重配置的需求，也使得投资者在投资策略的选择上有所调整。</w:t>
      </w:r>
    </w:p>
    <w:p w:rsidR="00C17A7E" w:rsidRDefault="005E2434" w:rsidP="005E2434">
      <w:pPr>
        <w:rPr>
          <w:rFonts w:ascii="仿宋" w:eastAsia="仿宋" w:hAnsi="仿宋"/>
        </w:rPr>
      </w:pPr>
      <w:r w:rsidRPr="005E2434">
        <w:rPr>
          <w:rFonts w:ascii="仿宋" w:eastAsia="仿宋" w:hAnsi="仿宋" w:hint="eastAsia"/>
        </w:rPr>
        <w:t>基于疫情发展的不确定性以及全球经济形势的不确定性，全球资产的波动率或持续维持较高的水平运行，在高波动率下对于CTA策略以及</w:t>
      </w:r>
      <w:proofErr w:type="gramStart"/>
      <w:r w:rsidRPr="005E2434">
        <w:rPr>
          <w:rFonts w:ascii="仿宋" w:eastAsia="仿宋" w:hAnsi="仿宋" w:hint="eastAsia"/>
        </w:rPr>
        <w:t>对冲型产品</w:t>
      </w:r>
      <w:proofErr w:type="gramEnd"/>
      <w:r w:rsidRPr="005E2434">
        <w:rPr>
          <w:rFonts w:ascii="仿宋" w:eastAsia="仿宋" w:hAnsi="仿宋" w:hint="eastAsia"/>
        </w:rPr>
        <w:t>存在投资机会。此外，期权类策略在应对不确定性时具有较好的表现，资产标的可更多运用期权工具来应对不确定性行情，从而把</w:t>
      </w:r>
      <w:proofErr w:type="gramStart"/>
      <w:r w:rsidRPr="005E2434">
        <w:rPr>
          <w:rFonts w:ascii="仿宋" w:eastAsia="仿宋" w:hAnsi="仿宋" w:hint="eastAsia"/>
        </w:rPr>
        <w:t>控资产</w:t>
      </w:r>
      <w:proofErr w:type="gramEnd"/>
      <w:r w:rsidRPr="005E2434">
        <w:rPr>
          <w:rFonts w:ascii="仿宋" w:eastAsia="仿宋" w:hAnsi="仿宋" w:hint="eastAsia"/>
        </w:rPr>
        <w:t>波动的程度进而追逐潜在的收益。</w:t>
      </w:r>
    </w:p>
    <w:p w:rsidR="00A74E30" w:rsidRDefault="00A74E30" w:rsidP="00A74E30">
      <w:pPr>
        <w:rPr>
          <w:rFonts w:ascii="仿宋" w:eastAsia="仿宋" w:hAnsi="仿宋"/>
        </w:rPr>
      </w:pPr>
      <w:r>
        <w:rPr>
          <w:rFonts w:ascii="仿宋" w:eastAsia="仿宋" w:hAnsi="仿宋" w:hint="eastAsia"/>
        </w:rPr>
        <w:t>六大关键词中英文对照表</w:t>
      </w:r>
    </w:p>
    <w:p w:rsidR="00A74E30" w:rsidRDefault="00AB795C" w:rsidP="00A74E30">
      <w:pPr>
        <w:rPr>
          <w:rFonts w:ascii="仿宋" w:eastAsia="仿宋" w:hAnsi="仿宋"/>
        </w:rPr>
      </w:pPr>
      <w:r>
        <w:rPr>
          <w:rFonts w:ascii="仿宋" w:eastAsia="仿宋" w:hAnsi="仿宋" w:hint="eastAsia"/>
        </w:rPr>
        <w:t>资产收益</w:t>
      </w:r>
      <w:r w:rsidR="00A74E30">
        <w:rPr>
          <w:rFonts w:ascii="仿宋" w:eastAsia="仿宋" w:hAnsi="仿宋" w:hint="eastAsia"/>
        </w:rPr>
        <w:tab/>
      </w:r>
      <w:r w:rsidR="0042237F">
        <w:rPr>
          <w:rFonts w:ascii="仿宋" w:eastAsia="仿宋" w:hAnsi="仿宋" w:hint="eastAsia"/>
        </w:rPr>
        <w:t>Asset Earnings</w:t>
      </w:r>
    </w:p>
    <w:p w:rsidR="00A74E30" w:rsidRDefault="00AB795C" w:rsidP="00A74E30">
      <w:pPr>
        <w:rPr>
          <w:rFonts w:ascii="仿宋" w:eastAsia="仿宋" w:hAnsi="仿宋"/>
        </w:rPr>
      </w:pPr>
      <w:r>
        <w:rPr>
          <w:rFonts w:ascii="仿宋" w:eastAsia="仿宋" w:hAnsi="仿宋" w:hint="eastAsia"/>
        </w:rPr>
        <w:t>资产波动率</w:t>
      </w:r>
      <w:r w:rsidR="00A74E30">
        <w:rPr>
          <w:rFonts w:ascii="仿宋" w:eastAsia="仿宋" w:hAnsi="仿宋" w:hint="eastAsia"/>
        </w:rPr>
        <w:tab/>
      </w:r>
      <w:r w:rsidR="0042237F">
        <w:rPr>
          <w:rFonts w:ascii="仿宋" w:eastAsia="仿宋" w:hAnsi="仿宋" w:hint="eastAsia"/>
        </w:rPr>
        <w:t>Fluctuation Ratio</w:t>
      </w:r>
    </w:p>
    <w:p w:rsidR="00A74E30" w:rsidRDefault="00AB795C" w:rsidP="00A74E30">
      <w:pPr>
        <w:rPr>
          <w:rFonts w:ascii="仿宋" w:eastAsia="仿宋" w:hAnsi="仿宋"/>
        </w:rPr>
      </w:pPr>
      <w:proofErr w:type="gramStart"/>
      <w:r>
        <w:rPr>
          <w:rFonts w:ascii="仿宋" w:eastAsia="仿宋" w:hAnsi="仿宋" w:hint="eastAsia"/>
        </w:rPr>
        <w:t>滞</w:t>
      </w:r>
      <w:proofErr w:type="gramEnd"/>
      <w:r>
        <w:rPr>
          <w:rFonts w:ascii="仿宋" w:eastAsia="仿宋" w:hAnsi="仿宋" w:hint="eastAsia"/>
        </w:rPr>
        <w:t xml:space="preserve">    涨</w:t>
      </w:r>
      <w:r w:rsidR="00A74E30">
        <w:rPr>
          <w:rFonts w:ascii="仿宋" w:eastAsia="仿宋" w:hAnsi="仿宋" w:hint="eastAsia"/>
        </w:rPr>
        <w:tab/>
      </w:r>
      <w:r w:rsidR="0042237F">
        <w:rPr>
          <w:rFonts w:ascii="仿宋" w:eastAsia="仿宋" w:hAnsi="仿宋" w:hint="eastAsia"/>
        </w:rPr>
        <w:t>Slow-inflation</w:t>
      </w:r>
    </w:p>
    <w:p w:rsidR="00A74E30" w:rsidRDefault="00AB795C" w:rsidP="00A74E30">
      <w:pPr>
        <w:rPr>
          <w:rFonts w:ascii="仿宋" w:eastAsia="仿宋" w:hAnsi="仿宋"/>
        </w:rPr>
      </w:pPr>
      <w:r>
        <w:rPr>
          <w:rFonts w:ascii="仿宋" w:eastAsia="仿宋" w:hAnsi="仿宋" w:hint="eastAsia"/>
        </w:rPr>
        <w:t>美    债</w:t>
      </w:r>
      <w:r w:rsidR="00A74E30">
        <w:rPr>
          <w:rFonts w:ascii="仿宋" w:eastAsia="仿宋" w:hAnsi="仿宋" w:hint="eastAsia"/>
        </w:rPr>
        <w:tab/>
      </w:r>
      <w:r w:rsidR="0042237F">
        <w:rPr>
          <w:rFonts w:ascii="仿宋" w:eastAsia="仿宋" w:hAnsi="仿宋" w:hint="eastAsia"/>
        </w:rPr>
        <w:t>American Debt</w:t>
      </w:r>
    </w:p>
    <w:p w:rsidR="00A74E30" w:rsidRDefault="00AB795C" w:rsidP="00A74E30">
      <w:pPr>
        <w:rPr>
          <w:rFonts w:ascii="仿宋" w:eastAsia="仿宋" w:hAnsi="仿宋"/>
        </w:rPr>
      </w:pPr>
      <w:r>
        <w:rPr>
          <w:rFonts w:ascii="仿宋" w:eastAsia="仿宋" w:hAnsi="仿宋" w:hint="eastAsia"/>
        </w:rPr>
        <w:t>大宗商品</w:t>
      </w:r>
      <w:r w:rsidR="00A74E30">
        <w:rPr>
          <w:rFonts w:ascii="仿宋" w:eastAsia="仿宋" w:hAnsi="仿宋" w:hint="eastAsia"/>
        </w:rPr>
        <w:tab/>
      </w:r>
      <w:r w:rsidR="0042237F">
        <w:rPr>
          <w:rFonts w:ascii="仿宋" w:eastAsia="仿宋" w:hAnsi="仿宋" w:hint="eastAsia"/>
        </w:rPr>
        <w:t>Bulk Commodity</w:t>
      </w:r>
    </w:p>
    <w:p w:rsidR="00A74E30" w:rsidRDefault="00AB795C" w:rsidP="00A74E30">
      <w:pPr>
        <w:rPr>
          <w:rFonts w:ascii="仿宋" w:eastAsia="仿宋" w:hAnsi="仿宋"/>
        </w:rPr>
      </w:pPr>
      <w:r>
        <w:rPr>
          <w:rFonts w:ascii="仿宋" w:eastAsia="仿宋" w:hAnsi="仿宋" w:hint="eastAsia"/>
        </w:rPr>
        <w:t>美元指数</w:t>
      </w:r>
      <w:r w:rsidR="00A74E30">
        <w:rPr>
          <w:rFonts w:ascii="仿宋" w:eastAsia="仿宋" w:hAnsi="仿宋" w:hint="eastAsia"/>
        </w:rPr>
        <w:tab/>
      </w:r>
      <w:r w:rsidR="0042237F">
        <w:rPr>
          <w:rFonts w:ascii="仿宋" w:eastAsia="仿宋" w:hAnsi="仿宋" w:hint="eastAsia"/>
        </w:rPr>
        <w:t>Dollar Index</w:t>
      </w:r>
    </w:p>
    <w:p w:rsidR="00A74E30" w:rsidRPr="00A74E30" w:rsidRDefault="00A74E30" w:rsidP="005E2434">
      <w:pPr>
        <w:rPr>
          <w:rFonts w:ascii="仿宋" w:eastAsia="仿宋" w:hAnsi="仿宋"/>
        </w:rPr>
      </w:pPr>
    </w:p>
    <w:sectPr w:rsidR="00A74E30" w:rsidRPr="00A74E30">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C55" w:rsidRDefault="00E84C55" w:rsidP="008E0C1F">
      <w:r>
        <w:separator/>
      </w:r>
    </w:p>
  </w:endnote>
  <w:endnote w:type="continuationSeparator" w:id="0">
    <w:p w:rsidR="00E84C55" w:rsidRDefault="00E84C55" w:rsidP="008E0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C55" w:rsidRDefault="00E84C55" w:rsidP="008E0C1F">
      <w:r>
        <w:separator/>
      </w:r>
    </w:p>
  </w:footnote>
  <w:footnote w:type="continuationSeparator" w:id="0">
    <w:p w:rsidR="00E84C55" w:rsidRDefault="00E84C55" w:rsidP="008E0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67D" w:rsidRDefault="0082467D" w:rsidP="0082467D">
    <w:pPr>
      <w:pStyle w:val="a5"/>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7530"/>
    <w:multiLevelType w:val="hybridMultilevel"/>
    <w:tmpl w:val="013A7DAE"/>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D4A47BB"/>
    <w:multiLevelType w:val="hybridMultilevel"/>
    <w:tmpl w:val="6EFAD04E"/>
    <w:lvl w:ilvl="0" w:tplc="9CFC005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6B705CE"/>
    <w:multiLevelType w:val="hybridMultilevel"/>
    <w:tmpl w:val="CA0E1D5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B61088A"/>
    <w:multiLevelType w:val="hybridMultilevel"/>
    <w:tmpl w:val="ACBA085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0E"/>
    <w:rsid w:val="0000301B"/>
    <w:rsid w:val="00012FE3"/>
    <w:rsid w:val="000836B3"/>
    <w:rsid w:val="000A6E1D"/>
    <w:rsid w:val="000E22FA"/>
    <w:rsid w:val="001141D5"/>
    <w:rsid w:val="00137661"/>
    <w:rsid w:val="001457CF"/>
    <w:rsid w:val="00146417"/>
    <w:rsid w:val="0017774F"/>
    <w:rsid w:val="001D1349"/>
    <w:rsid w:val="001D1537"/>
    <w:rsid w:val="001D65D3"/>
    <w:rsid w:val="00200228"/>
    <w:rsid w:val="002442BF"/>
    <w:rsid w:val="002A28F9"/>
    <w:rsid w:val="002B7853"/>
    <w:rsid w:val="002C74E4"/>
    <w:rsid w:val="002E654E"/>
    <w:rsid w:val="002F73DE"/>
    <w:rsid w:val="003442B7"/>
    <w:rsid w:val="003478C2"/>
    <w:rsid w:val="003568D2"/>
    <w:rsid w:val="003B6C7C"/>
    <w:rsid w:val="003C3446"/>
    <w:rsid w:val="003D7642"/>
    <w:rsid w:val="003E6B76"/>
    <w:rsid w:val="003F7EB2"/>
    <w:rsid w:val="0042237F"/>
    <w:rsid w:val="00440B35"/>
    <w:rsid w:val="00452E12"/>
    <w:rsid w:val="00466C86"/>
    <w:rsid w:val="0047796B"/>
    <w:rsid w:val="004861C5"/>
    <w:rsid w:val="00487583"/>
    <w:rsid w:val="00521707"/>
    <w:rsid w:val="00537A71"/>
    <w:rsid w:val="00547EFA"/>
    <w:rsid w:val="0055688C"/>
    <w:rsid w:val="00571290"/>
    <w:rsid w:val="00573903"/>
    <w:rsid w:val="005B28A8"/>
    <w:rsid w:val="005E2434"/>
    <w:rsid w:val="005E352E"/>
    <w:rsid w:val="005E3B08"/>
    <w:rsid w:val="005F471D"/>
    <w:rsid w:val="00651C72"/>
    <w:rsid w:val="00664578"/>
    <w:rsid w:val="006669EC"/>
    <w:rsid w:val="0067149B"/>
    <w:rsid w:val="006A23EF"/>
    <w:rsid w:val="006C3E89"/>
    <w:rsid w:val="006D5BFE"/>
    <w:rsid w:val="006D6173"/>
    <w:rsid w:val="006E06F7"/>
    <w:rsid w:val="007126EE"/>
    <w:rsid w:val="00744BFD"/>
    <w:rsid w:val="007505DA"/>
    <w:rsid w:val="00752CC9"/>
    <w:rsid w:val="007863CA"/>
    <w:rsid w:val="007D02BE"/>
    <w:rsid w:val="007E11AB"/>
    <w:rsid w:val="0082467D"/>
    <w:rsid w:val="00855221"/>
    <w:rsid w:val="008E0C1F"/>
    <w:rsid w:val="008E0CE7"/>
    <w:rsid w:val="008E52E8"/>
    <w:rsid w:val="00954B07"/>
    <w:rsid w:val="009700E3"/>
    <w:rsid w:val="009766E2"/>
    <w:rsid w:val="00985119"/>
    <w:rsid w:val="00986E35"/>
    <w:rsid w:val="009915BB"/>
    <w:rsid w:val="009C1A81"/>
    <w:rsid w:val="00A01FBA"/>
    <w:rsid w:val="00A30418"/>
    <w:rsid w:val="00A74E30"/>
    <w:rsid w:val="00A904D6"/>
    <w:rsid w:val="00AA6797"/>
    <w:rsid w:val="00AB20D0"/>
    <w:rsid w:val="00AB795C"/>
    <w:rsid w:val="00AC0E11"/>
    <w:rsid w:val="00AD64D7"/>
    <w:rsid w:val="00AE2EBC"/>
    <w:rsid w:val="00AE40ED"/>
    <w:rsid w:val="00B01520"/>
    <w:rsid w:val="00B03A87"/>
    <w:rsid w:val="00B215E1"/>
    <w:rsid w:val="00B46A67"/>
    <w:rsid w:val="00B6710B"/>
    <w:rsid w:val="00B817BE"/>
    <w:rsid w:val="00B865AA"/>
    <w:rsid w:val="00BA3153"/>
    <w:rsid w:val="00C14CBC"/>
    <w:rsid w:val="00C17A7E"/>
    <w:rsid w:val="00C40CA6"/>
    <w:rsid w:val="00C65095"/>
    <w:rsid w:val="00C70603"/>
    <w:rsid w:val="00C7278F"/>
    <w:rsid w:val="00CA4F78"/>
    <w:rsid w:val="00CA6D28"/>
    <w:rsid w:val="00CF5EC1"/>
    <w:rsid w:val="00D0687B"/>
    <w:rsid w:val="00D26059"/>
    <w:rsid w:val="00D33564"/>
    <w:rsid w:val="00D85344"/>
    <w:rsid w:val="00D85E94"/>
    <w:rsid w:val="00D9197B"/>
    <w:rsid w:val="00DA0341"/>
    <w:rsid w:val="00DB30D5"/>
    <w:rsid w:val="00DD498B"/>
    <w:rsid w:val="00E069CF"/>
    <w:rsid w:val="00E443FA"/>
    <w:rsid w:val="00E56F1C"/>
    <w:rsid w:val="00E84C55"/>
    <w:rsid w:val="00E85ACC"/>
    <w:rsid w:val="00E94A29"/>
    <w:rsid w:val="00E95764"/>
    <w:rsid w:val="00EE1C13"/>
    <w:rsid w:val="00EE46CC"/>
    <w:rsid w:val="00F005A4"/>
    <w:rsid w:val="00F37A6F"/>
    <w:rsid w:val="00F45839"/>
    <w:rsid w:val="00F60525"/>
    <w:rsid w:val="00F64DD4"/>
    <w:rsid w:val="00F86A0E"/>
    <w:rsid w:val="00FF3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9197B"/>
    <w:pPr>
      <w:ind w:firstLineChars="200"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 w:type="paragraph" w:styleId="a7">
    <w:name w:val="No Spacing"/>
    <w:link w:val="Char1"/>
    <w:uiPriority w:val="1"/>
    <w:qFormat/>
    <w:rsid w:val="007D02BE"/>
    <w:rPr>
      <w:kern w:val="0"/>
      <w:sz w:val="22"/>
    </w:rPr>
  </w:style>
  <w:style w:type="character" w:customStyle="1" w:styleId="Char1">
    <w:name w:val="无间隔 Char"/>
    <w:basedOn w:val="a0"/>
    <w:link w:val="a7"/>
    <w:uiPriority w:val="1"/>
    <w:rsid w:val="007D02BE"/>
    <w:rPr>
      <w:kern w:val="0"/>
      <w:sz w:val="22"/>
    </w:rPr>
  </w:style>
  <w:style w:type="paragraph" w:styleId="a8">
    <w:name w:val="Balloon Text"/>
    <w:basedOn w:val="a"/>
    <w:link w:val="Char2"/>
    <w:uiPriority w:val="99"/>
    <w:semiHidden/>
    <w:unhideWhenUsed/>
    <w:rsid w:val="007D02BE"/>
    <w:rPr>
      <w:sz w:val="18"/>
      <w:szCs w:val="18"/>
    </w:rPr>
  </w:style>
  <w:style w:type="character" w:customStyle="1" w:styleId="Char2">
    <w:name w:val="批注框文本 Char"/>
    <w:basedOn w:val="a0"/>
    <w:link w:val="a8"/>
    <w:uiPriority w:val="99"/>
    <w:semiHidden/>
    <w:rsid w:val="007D02BE"/>
    <w:rPr>
      <w:sz w:val="18"/>
      <w:szCs w:val="18"/>
    </w:rPr>
  </w:style>
  <w:style w:type="paragraph" w:styleId="a9">
    <w:name w:val="Title"/>
    <w:basedOn w:val="a"/>
    <w:next w:val="a"/>
    <w:link w:val="Char3"/>
    <w:uiPriority w:val="10"/>
    <w:qFormat/>
    <w:rsid w:val="005E2434"/>
    <w:pPr>
      <w:spacing w:before="240" w:after="60"/>
      <w:jc w:val="center"/>
      <w:outlineLvl w:val="0"/>
    </w:pPr>
    <w:rPr>
      <w:rFonts w:asciiTheme="majorHAnsi" w:eastAsia="宋体" w:hAnsiTheme="majorHAnsi" w:cstheme="majorBidi"/>
      <w:b/>
      <w:bCs/>
      <w:sz w:val="32"/>
      <w:szCs w:val="32"/>
    </w:rPr>
  </w:style>
  <w:style w:type="character" w:customStyle="1" w:styleId="Char3">
    <w:name w:val="标题 Char"/>
    <w:basedOn w:val="a0"/>
    <w:link w:val="a9"/>
    <w:uiPriority w:val="10"/>
    <w:rsid w:val="005E2434"/>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37A6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4875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DD498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97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9197B"/>
    <w:pPr>
      <w:ind w:firstLineChars="200" w:firstLine="420"/>
    </w:pPr>
  </w:style>
  <w:style w:type="paragraph" w:styleId="a5">
    <w:name w:val="header"/>
    <w:basedOn w:val="a"/>
    <w:link w:val="Char"/>
    <w:uiPriority w:val="99"/>
    <w:unhideWhenUsed/>
    <w:rsid w:val="008E0C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E0C1F"/>
    <w:rPr>
      <w:sz w:val="18"/>
      <w:szCs w:val="18"/>
    </w:rPr>
  </w:style>
  <w:style w:type="paragraph" w:styleId="a6">
    <w:name w:val="footer"/>
    <w:basedOn w:val="a"/>
    <w:link w:val="Char0"/>
    <w:uiPriority w:val="99"/>
    <w:unhideWhenUsed/>
    <w:rsid w:val="008E0C1F"/>
    <w:pPr>
      <w:tabs>
        <w:tab w:val="center" w:pos="4153"/>
        <w:tab w:val="right" w:pos="8306"/>
      </w:tabs>
      <w:snapToGrid w:val="0"/>
      <w:jc w:val="left"/>
    </w:pPr>
    <w:rPr>
      <w:sz w:val="18"/>
      <w:szCs w:val="18"/>
    </w:rPr>
  </w:style>
  <w:style w:type="character" w:customStyle="1" w:styleId="Char0">
    <w:name w:val="页脚 Char"/>
    <w:basedOn w:val="a0"/>
    <w:link w:val="a6"/>
    <w:uiPriority w:val="99"/>
    <w:rsid w:val="008E0C1F"/>
    <w:rPr>
      <w:sz w:val="18"/>
      <w:szCs w:val="18"/>
    </w:rPr>
  </w:style>
  <w:style w:type="character" w:customStyle="1" w:styleId="2Char">
    <w:name w:val="标题 2 Char"/>
    <w:basedOn w:val="a0"/>
    <w:link w:val="2"/>
    <w:uiPriority w:val="9"/>
    <w:rsid w:val="00487583"/>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DD498B"/>
    <w:rPr>
      <w:b/>
      <w:bCs/>
      <w:sz w:val="32"/>
      <w:szCs w:val="32"/>
    </w:rPr>
  </w:style>
  <w:style w:type="character" w:customStyle="1" w:styleId="1Char">
    <w:name w:val="标题 1 Char"/>
    <w:basedOn w:val="a0"/>
    <w:link w:val="1"/>
    <w:uiPriority w:val="9"/>
    <w:rsid w:val="00F37A6F"/>
    <w:rPr>
      <w:b/>
      <w:bCs/>
      <w:kern w:val="44"/>
      <w:sz w:val="44"/>
      <w:szCs w:val="44"/>
    </w:rPr>
  </w:style>
  <w:style w:type="paragraph" w:styleId="a7">
    <w:name w:val="No Spacing"/>
    <w:link w:val="Char1"/>
    <w:uiPriority w:val="1"/>
    <w:qFormat/>
    <w:rsid w:val="007D02BE"/>
    <w:rPr>
      <w:kern w:val="0"/>
      <w:sz w:val="22"/>
    </w:rPr>
  </w:style>
  <w:style w:type="character" w:customStyle="1" w:styleId="Char1">
    <w:name w:val="无间隔 Char"/>
    <w:basedOn w:val="a0"/>
    <w:link w:val="a7"/>
    <w:uiPriority w:val="1"/>
    <w:rsid w:val="007D02BE"/>
    <w:rPr>
      <w:kern w:val="0"/>
      <w:sz w:val="22"/>
    </w:rPr>
  </w:style>
  <w:style w:type="paragraph" w:styleId="a8">
    <w:name w:val="Balloon Text"/>
    <w:basedOn w:val="a"/>
    <w:link w:val="Char2"/>
    <w:uiPriority w:val="99"/>
    <w:semiHidden/>
    <w:unhideWhenUsed/>
    <w:rsid w:val="007D02BE"/>
    <w:rPr>
      <w:sz w:val="18"/>
      <w:szCs w:val="18"/>
    </w:rPr>
  </w:style>
  <w:style w:type="character" w:customStyle="1" w:styleId="Char2">
    <w:name w:val="批注框文本 Char"/>
    <w:basedOn w:val="a0"/>
    <w:link w:val="a8"/>
    <w:uiPriority w:val="99"/>
    <w:semiHidden/>
    <w:rsid w:val="007D02BE"/>
    <w:rPr>
      <w:sz w:val="18"/>
      <w:szCs w:val="18"/>
    </w:rPr>
  </w:style>
  <w:style w:type="paragraph" w:styleId="a9">
    <w:name w:val="Title"/>
    <w:basedOn w:val="a"/>
    <w:next w:val="a"/>
    <w:link w:val="Char3"/>
    <w:uiPriority w:val="10"/>
    <w:qFormat/>
    <w:rsid w:val="005E2434"/>
    <w:pPr>
      <w:spacing w:before="240" w:after="60"/>
      <w:jc w:val="center"/>
      <w:outlineLvl w:val="0"/>
    </w:pPr>
    <w:rPr>
      <w:rFonts w:asciiTheme="majorHAnsi" w:eastAsia="宋体" w:hAnsiTheme="majorHAnsi" w:cstheme="majorBidi"/>
      <w:b/>
      <w:bCs/>
      <w:sz w:val="32"/>
      <w:szCs w:val="32"/>
    </w:rPr>
  </w:style>
  <w:style w:type="character" w:customStyle="1" w:styleId="Char3">
    <w:name w:val="标题 Char"/>
    <w:basedOn w:val="a0"/>
    <w:link w:val="a9"/>
    <w:uiPriority w:val="10"/>
    <w:rsid w:val="005E2434"/>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26246">
      <w:bodyDiv w:val="1"/>
      <w:marLeft w:val="0"/>
      <w:marRight w:val="0"/>
      <w:marTop w:val="0"/>
      <w:marBottom w:val="0"/>
      <w:divBdr>
        <w:top w:val="none" w:sz="0" w:space="0" w:color="auto"/>
        <w:left w:val="none" w:sz="0" w:space="0" w:color="auto"/>
        <w:bottom w:val="none" w:sz="0" w:space="0" w:color="auto"/>
        <w:right w:val="none" w:sz="0" w:space="0" w:color="auto"/>
      </w:divBdr>
    </w:div>
    <w:div w:id="194198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暗香扑面">
  <a:themeElements>
    <a:clrScheme name="暗香扑面">
      <a:dk1>
        <a:sysClr val="windowText" lastClr="000000"/>
      </a:dk1>
      <a:lt1>
        <a:sysClr val="window" lastClr="FFFFFF"/>
      </a:lt1>
      <a:dk2>
        <a:srgbClr val="2F2F2F"/>
      </a:dk2>
      <a:lt2>
        <a:srgbClr val="FFFFF4"/>
      </a:lt2>
      <a:accent1>
        <a:srgbClr val="918415"/>
      </a:accent1>
      <a:accent2>
        <a:srgbClr val="C47546"/>
      </a:accent2>
      <a:accent3>
        <a:srgbClr val="AFB591"/>
      </a:accent3>
      <a:accent4>
        <a:srgbClr val="B9945B"/>
      </a:accent4>
      <a:accent5>
        <a:srgbClr val="85ADBC"/>
      </a:accent5>
      <a:accent6>
        <a:srgbClr val="E5B440"/>
      </a:accent6>
      <a:hlink>
        <a:srgbClr val="00D5D5"/>
      </a:hlink>
      <a:folHlink>
        <a:srgbClr val="DD00DD"/>
      </a:folHlink>
    </a:clrScheme>
    <a:fontScheme name="暗香扑面">
      <a:majorFont>
        <a:latin typeface="Franklin Gothic Medium"/>
        <a:ea typeface=""/>
        <a:cs typeface=""/>
        <a:font script="Jpan" typeface="HG創英角ｺﾞｼｯｸUB"/>
        <a:font script="Hang" typeface="HY견고딕"/>
        <a:font script="Hans" typeface="微软雅黑"/>
        <a:font script="Hant" typeface="微軟正黑體"/>
        <a:font script="Arab" typeface="Arial Bold"/>
        <a:font script="Hebr" typeface="Arial Bold"/>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Bold"/>
        <a:font script="Uigh" typeface="Microsoft Uighur"/>
        <a:font script="Geor" typeface="Sylfaen"/>
      </a:majorFont>
      <a:minorFont>
        <a:latin typeface="Franklin Gothic Book"/>
        <a:ea typeface=""/>
        <a:cs typeface=""/>
        <a:font script="Jpan" typeface="HG創英角ｺﾞｼｯｸUB"/>
        <a:font script="Hang" typeface="맑은 고딕"/>
        <a:font script="Hans" typeface="黑体"/>
        <a:font script="Hant" typeface="新細明體"/>
        <a:font script="Arab" typeface="Arial"/>
        <a:font script="Hebr" typeface="Arial"/>
        <a:font script="Thai" typeface="Cordian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暗香扑面">
      <a:fillStyleLst>
        <a:solidFill>
          <a:schemeClr val="phClr"/>
        </a:solidFill>
        <a:gradFill rotWithShape="1">
          <a:gsLst>
            <a:gs pos="0">
              <a:schemeClr val="phClr">
                <a:tint val="98000"/>
                <a:satMod val="220000"/>
              </a:schemeClr>
            </a:gs>
            <a:gs pos="31000">
              <a:schemeClr val="phClr">
                <a:tint val="30000"/>
                <a:satMod val="150000"/>
              </a:schemeClr>
            </a:gs>
            <a:gs pos="91000">
              <a:schemeClr val="phClr">
                <a:tint val="96000"/>
              </a:schemeClr>
            </a:gs>
          </a:gsLst>
          <a:path path="circle">
            <a:fillToRect l="50000" t="150000" r="50000"/>
          </a:path>
        </a:gradFill>
        <a:blipFill>
          <a:blip xmlns:r="http://schemas.openxmlformats.org/officeDocument/2006/relationships" r:embed="rId1">
            <a:duotone>
              <a:schemeClr val="phClr">
                <a:shade val="28000"/>
                <a:satMod val="100000"/>
              </a:schemeClr>
              <a:schemeClr val="phClr">
                <a:tint val="100000"/>
                <a:satMod val="200000"/>
              </a:schemeClr>
            </a:duotone>
          </a:blip>
          <a:tile tx="0" ty="0" sx="80000" sy="80000" flip="none" algn="tl"/>
        </a:blipFill>
      </a:fillStyleLst>
      <a:lnStyleLst>
        <a:ln w="12700" cap="flat" cmpd="sng" algn="ctr">
          <a:solidFill>
            <a:schemeClr val="phClr"/>
          </a:solidFill>
          <a:prstDash val="solid"/>
        </a:ln>
        <a:ln w="25400" cap="flat" cmpd="sng" algn="ctr">
          <a:solidFill>
            <a:schemeClr val="phClr"/>
          </a:solidFill>
          <a:prstDash val="solid"/>
        </a:ln>
        <a:ln w="38100" cap="flat" cmpd="dbl" algn="ctr">
          <a:solidFill>
            <a:schemeClr val="phClr"/>
          </a:solidFill>
          <a:prstDash val="solid"/>
        </a:ln>
      </a:lnStyleLst>
      <a:effectStyleLst>
        <a:effectStyle>
          <a:effectLst>
            <a:glow rad="63500">
              <a:schemeClr val="phClr">
                <a:alpha val="45000"/>
                <a:satMod val="110000"/>
              </a:schemeClr>
            </a:glow>
          </a:effectLst>
        </a:effectStyle>
        <a:effectStyle>
          <a:effectLst>
            <a:outerShdw blurRad="34925" dist="31750" dir="5400000" algn="tl" rotWithShape="0">
              <a:srgbClr val="000000">
                <a:alpha val="50000"/>
              </a:srgbClr>
            </a:outerShdw>
          </a:effectLst>
          <a:scene3d>
            <a:camera prst="orthographicFront">
              <a:rot lat="0" lon="0" rev="0"/>
            </a:camera>
            <a:lightRig rig="flood" dir="t">
              <a:rot lat="0" lon="0" rev="5400000"/>
            </a:lightRig>
          </a:scene3d>
          <a:sp3d contourW="9525" prstMaterial="dkEdge">
            <a:bevelT w="12000" h="24150"/>
            <a:contourClr>
              <a:schemeClr val="phClr">
                <a:satMod val="110000"/>
              </a:schemeClr>
            </a:contourClr>
          </a:sp3d>
        </a:effectStyle>
        <a:effectStyle>
          <a:effectLst>
            <a:outerShdw blurRad="50800" dist="31750" dir="5400000" algn="tl" rotWithShape="0">
              <a:srgbClr val="000000">
                <a:alpha val="50000"/>
              </a:srgbClr>
            </a:outerShdw>
          </a:effectLst>
          <a:scene3d>
            <a:camera prst="orthographicFront">
              <a:rot lat="0" lon="0" rev="0"/>
            </a:camera>
            <a:lightRig rig="flood" dir="t">
              <a:rot lat="0" lon="0" rev="5400000"/>
            </a:lightRig>
          </a:scene3d>
          <a:sp3d contourW="18700" prstMaterial="dkEdge">
            <a:bevelT w="44450" h="80600"/>
            <a:contourClr>
              <a:schemeClr val="phClr">
                <a:satMod val="110000"/>
              </a:schemeClr>
            </a:contourClr>
          </a:sp3d>
        </a:effectStyle>
      </a:effectStyleLst>
      <a:bgFillStyleLst>
        <a:solidFill>
          <a:schemeClr val="phClr"/>
        </a:solidFill>
        <a:gradFill rotWithShape="1">
          <a:gsLst>
            <a:gs pos="0">
              <a:schemeClr val="phClr">
                <a:shade val="70000"/>
                <a:satMod val="1000000"/>
              </a:schemeClr>
            </a:gs>
            <a:gs pos="31000">
              <a:schemeClr val="phClr">
                <a:shade val="85000"/>
                <a:satMod val="450000"/>
              </a:schemeClr>
            </a:gs>
            <a:gs pos="100000">
              <a:schemeClr val="phClr">
                <a:tint val="70000"/>
                <a:satMod val="300000"/>
              </a:schemeClr>
            </a:gs>
          </a:gsLst>
          <a:path path="circle">
            <a:fillToRect l="50000" t="150000" r="50000"/>
          </a:path>
        </a:gradFill>
        <a:blipFill>
          <a:blip xmlns:r="http://schemas.openxmlformats.org/officeDocument/2006/relationships" r:embed="rId2">
            <a:duotone>
              <a:schemeClr val="phClr">
                <a:tint val="100000"/>
                <a:shade val="70000"/>
                <a:hueMod val="100000"/>
                <a:satMod val="100000"/>
              </a:schemeClr>
              <a:schemeClr val="phClr">
                <a:tint val="90000"/>
                <a:shade val="100000"/>
                <a:hueMod val="100000"/>
                <a:satMod val="10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B8C3588-3ECB-4C0C-891B-3F5223E28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3</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pqk</dc:creator>
  <cp:lastModifiedBy>Administrator</cp:lastModifiedBy>
  <cp:revision>97</cp:revision>
  <dcterms:created xsi:type="dcterms:W3CDTF">2013-08-14T11:14:00Z</dcterms:created>
  <dcterms:modified xsi:type="dcterms:W3CDTF">2021-11-24T08:19:00Z</dcterms:modified>
</cp:coreProperties>
</file>