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8A2" w:rsidRPr="001045DF" w:rsidRDefault="00AF28A2" w:rsidP="001045DF">
      <w:pPr>
        <w:rPr>
          <w:rFonts w:ascii="宋体" w:hAnsi="宋体"/>
          <w:kern w:val="0"/>
          <w:sz w:val="32"/>
          <w:szCs w:val="32"/>
        </w:rPr>
      </w:pPr>
      <w:r w:rsidRPr="001045DF">
        <w:rPr>
          <w:rFonts w:ascii="宋体" w:hAnsi="宋体" w:hint="eastAsia"/>
          <w:kern w:val="0"/>
          <w:sz w:val="32"/>
          <w:szCs w:val="32"/>
        </w:rPr>
        <w:t>中美摩擦下的中国经济</w:t>
      </w:r>
      <w:r w:rsidR="00C621B6" w:rsidRPr="001045DF">
        <w:rPr>
          <w:rFonts w:ascii="宋体" w:hAnsi="宋体" w:hint="eastAsia"/>
          <w:kern w:val="0"/>
          <w:sz w:val="32"/>
          <w:szCs w:val="32"/>
        </w:rPr>
        <w:t>改革发展</w:t>
      </w:r>
      <w:r w:rsidRPr="001045DF">
        <w:rPr>
          <w:rFonts w:ascii="宋体" w:hAnsi="宋体" w:hint="eastAsia"/>
          <w:kern w:val="0"/>
          <w:sz w:val="32"/>
          <w:szCs w:val="32"/>
        </w:rPr>
        <w:t>报告</w:t>
      </w:r>
    </w:p>
    <w:p w:rsidR="00AF28A2" w:rsidRPr="001045DF" w:rsidRDefault="00AF28A2" w:rsidP="001045DF">
      <w:pPr>
        <w:rPr>
          <w:rFonts w:ascii="宋体" w:hAnsi="宋体"/>
          <w:kern w:val="0"/>
          <w:sz w:val="32"/>
          <w:szCs w:val="32"/>
        </w:rPr>
      </w:pPr>
      <w:r w:rsidRPr="001045DF">
        <w:rPr>
          <w:rFonts w:ascii="宋体" w:hAnsi="宋体" w:hint="eastAsia"/>
          <w:kern w:val="0"/>
          <w:sz w:val="32"/>
          <w:szCs w:val="32"/>
        </w:rPr>
        <w:t>清华经管学院</w:t>
      </w:r>
      <w:r>
        <w:rPr>
          <w:rFonts w:ascii="宋体" w:hAnsi="宋体" w:hint="eastAsia"/>
          <w:kern w:val="0"/>
          <w:sz w:val="32"/>
          <w:szCs w:val="32"/>
        </w:rPr>
        <w:t>•</w:t>
      </w:r>
      <w:r w:rsidRPr="001045DF">
        <w:rPr>
          <w:rFonts w:ascii="宋体" w:hAnsi="宋体" w:hint="eastAsia"/>
          <w:kern w:val="0"/>
          <w:sz w:val="32"/>
          <w:szCs w:val="32"/>
        </w:rPr>
        <w:t>清华大学中国经济思想与实践研究院</w:t>
      </w:r>
    </w:p>
    <w:p w:rsidR="00AF28A2" w:rsidRPr="001045DF" w:rsidRDefault="00AF28A2" w:rsidP="001045DF">
      <w:pPr>
        <w:rPr>
          <w:rFonts w:ascii="宋体" w:hAnsi="宋体"/>
          <w:kern w:val="0"/>
          <w:sz w:val="32"/>
          <w:szCs w:val="32"/>
        </w:rPr>
      </w:pPr>
      <w:r>
        <w:rPr>
          <w:rFonts w:ascii="宋体" w:hAnsi="宋体" w:hint="eastAsia"/>
          <w:kern w:val="0"/>
          <w:sz w:val="32"/>
          <w:szCs w:val="32"/>
        </w:rPr>
        <w:t>2020/</w:t>
      </w:r>
      <w:r w:rsidR="002D7B21">
        <w:rPr>
          <w:rFonts w:ascii="宋体" w:hAnsi="宋体" w:hint="eastAsia"/>
          <w:kern w:val="0"/>
          <w:sz w:val="32"/>
          <w:szCs w:val="32"/>
        </w:rPr>
        <w:t>5</w:t>
      </w:r>
      <w:r>
        <w:rPr>
          <w:rFonts w:ascii="宋体" w:hAnsi="宋体" w:hint="eastAsia"/>
          <w:kern w:val="0"/>
          <w:sz w:val="32"/>
          <w:szCs w:val="32"/>
        </w:rPr>
        <w:t>/</w:t>
      </w:r>
      <w:r w:rsidR="001E0B53">
        <w:rPr>
          <w:rFonts w:ascii="宋体" w:hAnsi="宋体" w:hint="eastAsia"/>
          <w:kern w:val="0"/>
          <w:sz w:val="32"/>
          <w:szCs w:val="32"/>
        </w:rPr>
        <w:t>20</w:t>
      </w:r>
    </w:p>
    <w:p w:rsidR="00390340" w:rsidRPr="0095734F" w:rsidRDefault="00301E27" w:rsidP="0095734F">
      <w:pPr>
        <w:ind w:firstLineChars="200" w:firstLine="480"/>
        <w:rPr>
          <w:rFonts w:ascii="宋体" w:hAnsi="宋体"/>
          <w:kern w:val="0"/>
          <w:sz w:val="24"/>
        </w:rPr>
      </w:pPr>
      <w:r w:rsidRPr="0095734F">
        <w:rPr>
          <w:rFonts w:ascii="宋体" w:hAnsi="宋体" w:hint="eastAsia"/>
          <w:kern w:val="0"/>
          <w:sz w:val="24"/>
        </w:rPr>
        <w:t>行至2019年中场，国际局势复杂扑朔、中美贸易“战事”进行中，在各类“黑天鹅”齐飞的时代，“迷雾”依然很厚，一场关于中国与全球宏观经济的分析与预测显得尤为迫切。</w:t>
      </w:r>
      <w:r w:rsidR="00390340" w:rsidRPr="0095734F">
        <w:rPr>
          <w:rFonts w:ascii="宋体" w:hAnsi="宋体" w:hint="eastAsia"/>
          <w:b/>
          <w:color w:val="FF0000"/>
          <w:kern w:val="0"/>
          <w:sz w:val="24"/>
        </w:rPr>
        <w:t>德勤</w:t>
      </w:r>
      <w:proofErr w:type="gramStart"/>
      <w:r w:rsidR="00390340" w:rsidRPr="0095734F">
        <w:rPr>
          <w:rFonts w:ascii="宋体" w:hAnsi="宋体" w:hint="eastAsia"/>
          <w:b/>
          <w:color w:val="FF0000"/>
          <w:kern w:val="0"/>
          <w:sz w:val="24"/>
        </w:rPr>
        <w:t>国际智库</w:t>
      </w:r>
      <w:r w:rsidR="001045DF" w:rsidRPr="0095734F">
        <w:rPr>
          <w:rFonts w:ascii="宋体" w:hAnsi="宋体" w:hint="eastAsia"/>
          <w:b/>
          <w:color w:val="FF0000"/>
          <w:kern w:val="0"/>
          <w:sz w:val="24"/>
        </w:rPr>
        <w:t>网站</w:t>
      </w:r>
      <w:proofErr w:type="gramEnd"/>
      <w:r w:rsidR="001045DF" w:rsidRPr="0095734F">
        <w:rPr>
          <w:rFonts w:ascii="宋体" w:hAnsi="宋体" w:hint="eastAsia"/>
          <w:kern w:val="0"/>
          <w:sz w:val="24"/>
        </w:rPr>
        <w:t>2019年6月23日发布</w:t>
      </w:r>
      <w:r w:rsidRPr="0095734F">
        <w:rPr>
          <w:rFonts w:ascii="宋体" w:hAnsi="宋体" w:hint="eastAsia"/>
          <w:kern w:val="0"/>
          <w:sz w:val="24"/>
        </w:rPr>
        <w:t>，由清华经管学院、清华大学中国经济思想与实践研究院主办的清华大学中国与世界经济论坛——“中美摩擦下的中国经济”在清华园举办。来自宏观经济、外汇、微电子、经贸等各领域中外智识齐聚，共同思索中国改革发展前路。</w:t>
      </w:r>
      <w:r w:rsidR="00390340" w:rsidRPr="0095734F">
        <w:rPr>
          <w:rFonts w:ascii="宋体" w:hAnsi="宋体" w:hint="eastAsia"/>
          <w:kern w:val="0"/>
          <w:sz w:val="24"/>
        </w:rPr>
        <w:t>提振信心、增加活力，以此来击退国际上反全球化以及遏制中国发展的逆流。</w:t>
      </w:r>
    </w:p>
    <w:p w:rsidR="00301E27" w:rsidRPr="00396D71" w:rsidRDefault="00301E27" w:rsidP="0095734F">
      <w:pPr>
        <w:ind w:firstLineChars="200" w:firstLine="480"/>
        <w:rPr>
          <w:rFonts w:ascii="华文仿宋" w:eastAsia="华文仿宋" w:hAnsi="华文仿宋" w:cstheme="minorBidi"/>
          <w:b/>
          <w:color w:val="7030A0"/>
          <w:sz w:val="24"/>
        </w:rPr>
      </w:pPr>
      <w:r w:rsidRPr="00396D71">
        <w:rPr>
          <w:rFonts w:ascii="华文仿宋" w:eastAsia="华文仿宋" w:hAnsi="华文仿宋" w:cstheme="minorBidi" w:hint="eastAsia"/>
          <w:b/>
          <w:color w:val="7030A0"/>
          <w:sz w:val="24"/>
        </w:rPr>
        <w:t>一、当前宏观经济运行分析与判断</w:t>
      </w:r>
    </w:p>
    <w:p w:rsidR="00301E27" w:rsidRPr="0095734F" w:rsidRDefault="00301E27" w:rsidP="0095734F">
      <w:pPr>
        <w:ind w:firstLineChars="200" w:firstLine="482"/>
        <w:rPr>
          <w:rFonts w:ascii="楷体" w:eastAsia="楷体" w:hAnsi="楷体" w:cstheme="minorBidi"/>
          <w:b/>
          <w:color w:val="C00000"/>
          <w:sz w:val="24"/>
        </w:rPr>
      </w:pPr>
      <w:r w:rsidRPr="0095734F">
        <w:rPr>
          <w:rFonts w:ascii="楷体" w:eastAsia="楷体" w:hAnsi="楷体" w:cstheme="minorBidi" w:hint="eastAsia"/>
          <w:b/>
          <w:color w:val="C00000"/>
          <w:sz w:val="24"/>
        </w:rPr>
        <w:t>（一）投资：整体投资动力不足，应加强激励有效应对</w:t>
      </w:r>
    </w:p>
    <w:p w:rsidR="00301E27" w:rsidRPr="0095734F" w:rsidRDefault="00301E27" w:rsidP="0095734F">
      <w:pPr>
        <w:ind w:firstLineChars="200" w:firstLine="480"/>
        <w:rPr>
          <w:rFonts w:ascii="方正姚体" w:eastAsia="方正姚体" w:hAnsi="宋体"/>
          <w:color w:val="00B050"/>
          <w:kern w:val="0"/>
          <w:sz w:val="24"/>
        </w:rPr>
      </w:pPr>
      <w:r w:rsidRPr="0095734F">
        <w:rPr>
          <w:rFonts w:ascii="方正姚体" w:eastAsia="方正姚体" w:hAnsi="宋体" w:hint="eastAsia"/>
          <w:color w:val="00B050"/>
          <w:kern w:val="0"/>
          <w:sz w:val="24"/>
        </w:rPr>
        <w:t>1.制造业和民间投资：增速下降，信心不足</w:t>
      </w:r>
    </w:p>
    <w:p w:rsidR="00301E27" w:rsidRPr="0095734F" w:rsidRDefault="00301E27" w:rsidP="0095734F">
      <w:pPr>
        <w:ind w:firstLineChars="200" w:firstLine="480"/>
        <w:rPr>
          <w:rFonts w:ascii="宋体" w:hAnsi="宋体"/>
          <w:kern w:val="0"/>
          <w:sz w:val="24"/>
        </w:rPr>
      </w:pPr>
      <w:r w:rsidRPr="0095734F">
        <w:rPr>
          <w:rFonts w:ascii="宋体" w:hAnsi="宋体" w:hint="eastAsia"/>
          <w:kern w:val="0"/>
          <w:sz w:val="24"/>
        </w:rPr>
        <w:t>针对目前企业家信心不足的局面，政府如果不发挥作用，任由经济自由发展，那么投资很可能会不断恶化。因此，我们建议政府当前必须找</w:t>
      </w:r>
      <w:r w:rsidR="00390340" w:rsidRPr="0095734F">
        <w:rPr>
          <w:rFonts w:ascii="宋体" w:hAnsi="宋体" w:hint="eastAsia"/>
          <w:kern w:val="0"/>
          <w:sz w:val="24"/>
        </w:rPr>
        <w:t>准痛点、精准发力，推出实实在在的改革政策，为投资注入新的活力。</w:t>
      </w:r>
    </w:p>
    <w:p w:rsidR="00301E27" w:rsidRPr="0095734F" w:rsidRDefault="00301E27" w:rsidP="0095734F">
      <w:pPr>
        <w:ind w:firstLineChars="200" w:firstLine="480"/>
        <w:rPr>
          <w:rFonts w:ascii="方正姚体" w:eastAsia="方正姚体" w:hAnsi="宋体"/>
          <w:color w:val="00B050"/>
          <w:kern w:val="0"/>
          <w:sz w:val="24"/>
        </w:rPr>
      </w:pPr>
      <w:r w:rsidRPr="0095734F">
        <w:rPr>
          <w:rFonts w:ascii="方正姚体" w:eastAsia="方正姚体" w:hAnsi="宋体" w:hint="eastAsia"/>
          <w:color w:val="00B050"/>
          <w:kern w:val="0"/>
          <w:sz w:val="24"/>
        </w:rPr>
        <w:t>2.基建：投资疲软需发力，小幅回升尤可期</w:t>
      </w:r>
    </w:p>
    <w:p w:rsidR="00301E27" w:rsidRPr="0095734F" w:rsidRDefault="00301E27" w:rsidP="0095734F">
      <w:pPr>
        <w:ind w:firstLineChars="200" w:firstLine="480"/>
        <w:rPr>
          <w:rFonts w:ascii="宋体" w:hAnsi="宋体"/>
          <w:kern w:val="0"/>
          <w:sz w:val="24"/>
        </w:rPr>
      </w:pPr>
      <w:r w:rsidRPr="0095734F">
        <w:rPr>
          <w:rFonts w:ascii="宋体" w:hAnsi="宋体" w:hint="eastAsia"/>
          <w:kern w:val="0"/>
          <w:sz w:val="24"/>
        </w:rPr>
        <w:t>根据近年基建投资的资金来源分布，财政预算资金占基建整体投资资金的比维持在15%左右，预计2019年</w:t>
      </w:r>
      <w:proofErr w:type="gramStart"/>
      <w:r w:rsidRPr="0095734F">
        <w:rPr>
          <w:rFonts w:ascii="宋体" w:hAnsi="宋体" w:hint="eastAsia"/>
          <w:kern w:val="0"/>
          <w:sz w:val="24"/>
        </w:rPr>
        <w:t>将趋势</w:t>
      </w:r>
      <w:proofErr w:type="gramEnd"/>
      <w:r w:rsidRPr="0095734F">
        <w:rPr>
          <w:rFonts w:ascii="宋体" w:hAnsi="宋体" w:hint="eastAsia"/>
          <w:kern w:val="0"/>
          <w:sz w:val="24"/>
        </w:rPr>
        <w:t>性小幅上升到16%，国内贷款资金预计维持在15%左右不变，外资占比预计仍保持在0.5%以下，自筹资金占比预计稳定在60%左右。</w:t>
      </w:r>
    </w:p>
    <w:p w:rsidR="00805A5E" w:rsidRPr="0095734F" w:rsidRDefault="00805A5E" w:rsidP="00805A5E">
      <w:pPr>
        <w:rPr>
          <w:rFonts w:ascii="宋体" w:hAnsi="宋体"/>
          <w:color w:val="0070C0"/>
          <w:kern w:val="0"/>
          <w:sz w:val="24"/>
        </w:rPr>
      </w:pPr>
      <w:r w:rsidRPr="0095734F">
        <w:rPr>
          <w:rFonts w:ascii="宋体" w:hAnsi="宋体" w:hint="eastAsia"/>
          <w:color w:val="0000FF"/>
          <w:kern w:val="0"/>
          <w:sz w:val="24"/>
        </w:rPr>
        <w:t>融资来源</w:t>
      </w:r>
      <w:r w:rsidRPr="0095734F">
        <w:rPr>
          <w:rFonts w:ascii="宋体" w:hAnsi="宋体" w:hint="eastAsia"/>
          <w:color w:val="0000FF"/>
          <w:kern w:val="0"/>
          <w:sz w:val="24"/>
        </w:rPr>
        <w:tab/>
        <w:t>金额</w:t>
      </w:r>
      <w:r w:rsidRPr="0095734F">
        <w:rPr>
          <w:rFonts w:ascii="宋体" w:hAnsi="宋体" w:hint="eastAsia"/>
          <w:color w:val="0000FF"/>
          <w:kern w:val="0"/>
          <w:sz w:val="24"/>
        </w:rPr>
        <w:tab/>
        <w:t>占比（%）</w:t>
      </w:r>
    </w:p>
    <w:p w:rsidR="00805A5E" w:rsidRPr="0095734F" w:rsidRDefault="00805A5E" w:rsidP="00805A5E">
      <w:pPr>
        <w:rPr>
          <w:rFonts w:ascii="宋体" w:hAnsi="宋体"/>
          <w:color w:val="0000FF"/>
          <w:kern w:val="0"/>
          <w:sz w:val="24"/>
        </w:rPr>
      </w:pPr>
      <w:r w:rsidRPr="0095734F">
        <w:rPr>
          <w:rFonts w:ascii="宋体" w:hAnsi="宋体" w:hint="eastAsia"/>
          <w:color w:val="0000FF"/>
          <w:kern w:val="0"/>
          <w:sz w:val="24"/>
        </w:rPr>
        <w:t>财政预算</w:t>
      </w:r>
      <w:r w:rsidRPr="0095734F">
        <w:rPr>
          <w:rFonts w:ascii="宋体" w:hAnsi="宋体" w:hint="eastAsia"/>
          <w:color w:val="0000FF"/>
          <w:kern w:val="0"/>
          <w:sz w:val="24"/>
        </w:rPr>
        <w:tab/>
        <w:t>24232.79</w:t>
      </w:r>
      <w:r w:rsidRPr="0095734F">
        <w:rPr>
          <w:rFonts w:ascii="宋体" w:hAnsi="宋体" w:hint="eastAsia"/>
          <w:color w:val="0000FF"/>
          <w:kern w:val="0"/>
          <w:sz w:val="24"/>
        </w:rPr>
        <w:tab/>
        <w:t>15.55%</w:t>
      </w:r>
    </w:p>
    <w:p w:rsidR="00805A5E" w:rsidRPr="0095734F" w:rsidRDefault="00805A5E" w:rsidP="00805A5E">
      <w:pPr>
        <w:rPr>
          <w:rFonts w:ascii="宋体" w:hAnsi="宋体"/>
          <w:color w:val="0000FF"/>
          <w:kern w:val="0"/>
          <w:sz w:val="24"/>
        </w:rPr>
      </w:pPr>
      <w:r w:rsidRPr="0095734F">
        <w:rPr>
          <w:rFonts w:ascii="宋体" w:hAnsi="宋体" w:hint="eastAsia"/>
          <w:color w:val="0000FF"/>
          <w:kern w:val="0"/>
          <w:sz w:val="24"/>
        </w:rPr>
        <w:t>国内贷款</w:t>
      </w:r>
      <w:r w:rsidRPr="0095734F">
        <w:rPr>
          <w:rFonts w:ascii="宋体" w:hAnsi="宋体" w:hint="eastAsia"/>
          <w:color w:val="0000FF"/>
          <w:kern w:val="0"/>
          <w:sz w:val="24"/>
        </w:rPr>
        <w:tab/>
        <w:t>23685.74</w:t>
      </w:r>
      <w:r w:rsidRPr="0095734F">
        <w:rPr>
          <w:rFonts w:ascii="宋体" w:hAnsi="宋体" w:hint="eastAsia"/>
          <w:color w:val="0000FF"/>
          <w:kern w:val="0"/>
          <w:sz w:val="24"/>
        </w:rPr>
        <w:tab/>
        <w:t>15.20%</w:t>
      </w:r>
    </w:p>
    <w:p w:rsidR="00805A5E" w:rsidRPr="0095734F" w:rsidRDefault="00805A5E" w:rsidP="00805A5E">
      <w:pPr>
        <w:rPr>
          <w:rFonts w:ascii="宋体" w:hAnsi="宋体"/>
          <w:color w:val="0000FF"/>
          <w:kern w:val="0"/>
          <w:sz w:val="24"/>
        </w:rPr>
      </w:pPr>
      <w:r w:rsidRPr="0095734F">
        <w:rPr>
          <w:rFonts w:ascii="宋体" w:hAnsi="宋体" w:hint="eastAsia"/>
          <w:color w:val="0000FF"/>
          <w:kern w:val="0"/>
          <w:sz w:val="24"/>
        </w:rPr>
        <w:t>利用外资</w:t>
      </w:r>
      <w:r w:rsidRPr="0095734F">
        <w:rPr>
          <w:rFonts w:ascii="宋体" w:hAnsi="宋体" w:hint="eastAsia"/>
          <w:color w:val="0000FF"/>
          <w:kern w:val="0"/>
          <w:sz w:val="24"/>
        </w:rPr>
        <w:tab/>
        <w:t>468.59</w:t>
      </w:r>
      <w:r w:rsidR="00396D71">
        <w:rPr>
          <w:rFonts w:ascii="宋体" w:hAnsi="宋体" w:hint="eastAsia"/>
          <w:color w:val="0000FF"/>
          <w:kern w:val="0"/>
          <w:sz w:val="24"/>
        </w:rPr>
        <w:t>0</w:t>
      </w:r>
      <w:r w:rsidRPr="0095734F">
        <w:rPr>
          <w:rFonts w:ascii="宋体" w:hAnsi="宋体" w:hint="eastAsia"/>
          <w:color w:val="0000FF"/>
          <w:kern w:val="0"/>
          <w:sz w:val="24"/>
        </w:rPr>
        <w:tab/>
        <w:t>0.30%</w:t>
      </w:r>
    </w:p>
    <w:p w:rsidR="00805A5E" w:rsidRPr="0095734F" w:rsidRDefault="00805A5E" w:rsidP="00805A5E">
      <w:pPr>
        <w:rPr>
          <w:rFonts w:ascii="宋体" w:hAnsi="宋体"/>
          <w:color w:val="0000FF"/>
          <w:kern w:val="0"/>
          <w:sz w:val="24"/>
        </w:rPr>
      </w:pPr>
      <w:r w:rsidRPr="0095734F">
        <w:rPr>
          <w:rFonts w:ascii="宋体" w:hAnsi="宋体" w:hint="eastAsia"/>
          <w:color w:val="0000FF"/>
          <w:kern w:val="0"/>
          <w:sz w:val="24"/>
        </w:rPr>
        <w:t>自筹资金</w:t>
      </w:r>
      <w:r w:rsidRPr="0095734F">
        <w:rPr>
          <w:rFonts w:ascii="宋体" w:hAnsi="宋体" w:hint="eastAsia"/>
          <w:color w:val="0000FF"/>
          <w:kern w:val="0"/>
          <w:sz w:val="24"/>
        </w:rPr>
        <w:tab/>
        <w:t>93202.42</w:t>
      </w:r>
      <w:r w:rsidRPr="0095734F">
        <w:rPr>
          <w:rFonts w:ascii="宋体" w:hAnsi="宋体" w:hint="eastAsia"/>
          <w:color w:val="0000FF"/>
          <w:kern w:val="0"/>
          <w:sz w:val="24"/>
        </w:rPr>
        <w:tab/>
        <w:t>59.81%</w:t>
      </w:r>
    </w:p>
    <w:p w:rsidR="00805A5E" w:rsidRPr="0095734F" w:rsidRDefault="00805A5E" w:rsidP="00805A5E">
      <w:pPr>
        <w:rPr>
          <w:rFonts w:ascii="宋体" w:hAnsi="宋体"/>
          <w:color w:val="0000FF"/>
          <w:kern w:val="0"/>
          <w:sz w:val="24"/>
        </w:rPr>
      </w:pPr>
      <w:r w:rsidRPr="0095734F">
        <w:rPr>
          <w:rFonts w:ascii="宋体" w:hAnsi="宋体" w:hint="eastAsia"/>
          <w:color w:val="0000FF"/>
          <w:kern w:val="0"/>
          <w:sz w:val="24"/>
        </w:rPr>
        <w:t>其他资金</w:t>
      </w:r>
      <w:r w:rsidRPr="0095734F">
        <w:rPr>
          <w:rFonts w:ascii="宋体" w:hAnsi="宋体" w:hint="eastAsia"/>
          <w:color w:val="0000FF"/>
          <w:kern w:val="0"/>
          <w:sz w:val="24"/>
        </w:rPr>
        <w:tab/>
        <w:t>14249.81</w:t>
      </w:r>
      <w:r w:rsidRPr="0095734F">
        <w:rPr>
          <w:rFonts w:ascii="宋体" w:hAnsi="宋体" w:hint="eastAsia"/>
          <w:color w:val="0000FF"/>
          <w:kern w:val="0"/>
          <w:sz w:val="24"/>
        </w:rPr>
        <w:tab/>
        <w:t>9.14%</w:t>
      </w:r>
    </w:p>
    <w:p w:rsidR="00301E27" w:rsidRPr="0095734F" w:rsidRDefault="00301E27" w:rsidP="0095734F">
      <w:pPr>
        <w:ind w:firstLineChars="200" w:firstLine="480"/>
        <w:rPr>
          <w:rFonts w:ascii="宋体" w:hAnsi="宋体"/>
          <w:kern w:val="0"/>
          <w:sz w:val="24"/>
        </w:rPr>
      </w:pPr>
      <w:r w:rsidRPr="0095734F">
        <w:rPr>
          <w:rFonts w:ascii="宋体" w:hAnsi="宋体" w:hint="eastAsia"/>
          <w:kern w:val="0"/>
          <w:sz w:val="24"/>
        </w:rPr>
        <w:t>在当前体制下，各地方基建项目因政府背书，客观上挤占了大量信贷资源，且项目规划过程中成本收益分析专业性不足，存在监管难、追责难等问题。全面改革地方政府基础设施建设</w:t>
      </w:r>
      <w:bookmarkStart w:id="0" w:name="_GoBack"/>
      <w:bookmarkEnd w:id="0"/>
      <w:r w:rsidRPr="0095734F">
        <w:rPr>
          <w:rFonts w:ascii="宋体" w:hAnsi="宋体" w:hint="eastAsia"/>
          <w:kern w:val="0"/>
          <w:sz w:val="24"/>
        </w:rPr>
        <w:t>投融资体制，将地方政府基建融资从银行信贷体系中剥离，有助于规制地方政府行为，缓解企业尤其是中小企业的融资压力，推动民间投资与基建投资长期稳定增长，从而逐步形成健康有效的资本市场。</w:t>
      </w:r>
    </w:p>
    <w:p w:rsidR="00301E27" w:rsidRPr="0095734F" w:rsidRDefault="00301E27" w:rsidP="0095734F">
      <w:pPr>
        <w:ind w:firstLineChars="200" w:firstLine="482"/>
        <w:rPr>
          <w:rFonts w:ascii="楷体" w:eastAsia="楷体" w:hAnsi="楷体" w:cstheme="minorBidi"/>
          <w:b/>
          <w:color w:val="C00000"/>
          <w:sz w:val="24"/>
        </w:rPr>
      </w:pPr>
      <w:r w:rsidRPr="0095734F">
        <w:rPr>
          <w:rFonts w:ascii="楷体" w:eastAsia="楷体" w:hAnsi="楷体" w:cstheme="minorBidi" w:hint="eastAsia"/>
          <w:b/>
          <w:color w:val="C00000"/>
          <w:sz w:val="24"/>
        </w:rPr>
        <w:t>（二）消费、就业与价格</w:t>
      </w:r>
    </w:p>
    <w:p w:rsidR="00301E27" w:rsidRPr="0095734F" w:rsidRDefault="00301E27" w:rsidP="0095734F">
      <w:pPr>
        <w:ind w:firstLineChars="200" w:firstLine="480"/>
        <w:rPr>
          <w:rFonts w:ascii="方正姚体" w:eastAsia="方正姚体" w:hAnsi="宋体"/>
          <w:color w:val="00B050"/>
          <w:kern w:val="0"/>
          <w:sz w:val="24"/>
        </w:rPr>
      </w:pPr>
      <w:r w:rsidRPr="0095734F">
        <w:rPr>
          <w:rFonts w:ascii="方正姚体" w:eastAsia="方正姚体" w:hAnsi="宋体" w:hint="eastAsia"/>
          <w:color w:val="00B050"/>
          <w:kern w:val="0"/>
          <w:sz w:val="24"/>
        </w:rPr>
        <w:t>1.消费：消费增速持续回落，汽车销售下降明显</w:t>
      </w:r>
    </w:p>
    <w:p w:rsidR="00301E27" w:rsidRPr="0095734F" w:rsidRDefault="00301E27" w:rsidP="0095734F">
      <w:pPr>
        <w:ind w:firstLineChars="200" w:firstLine="480"/>
        <w:rPr>
          <w:rFonts w:ascii="宋体" w:hAnsi="宋体"/>
          <w:kern w:val="0"/>
          <w:sz w:val="24"/>
        </w:rPr>
      </w:pPr>
      <w:r w:rsidRPr="0095734F">
        <w:rPr>
          <w:rFonts w:ascii="宋体" w:hAnsi="宋体" w:hint="eastAsia"/>
          <w:kern w:val="0"/>
          <w:sz w:val="24"/>
        </w:rPr>
        <w:t>短期来看，消费增速稳中略降，不及预期。2019年5月社会消费品零售总额为32956亿元，同比增长8.6%，相对于2018年5月8.5%的同比增速略有下降。扣除价格因素，</w:t>
      </w:r>
      <w:proofErr w:type="gramStart"/>
      <w:r w:rsidRPr="0095734F">
        <w:rPr>
          <w:rFonts w:ascii="宋体" w:hAnsi="宋体" w:hint="eastAsia"/>
          <w:kern w:val="0"/>
          <w:sz w:val="24"/>
        </w:rPr>
        <w:t>社消实际</w:t>
      </w:r>
      <w:proofErr w:type="gramEnd"/>
      <w:r w:rsidRPr="0095734F">
        <w:rPr>
          <w:rFonts w:ascii="宋体" w:hAnsi="宋体" w:hint="eastAsia"/>
          <w:kern w:val="0"/>
          <w:sz w:val="24"/>
        </w:rPr>
        <w:t>增长6.4%，低于去年同期的6.8%。其中，2019年5月</w:t>
      </w:r>
      <w:r w:rsidRPr="0095734F">
        <w:rPr>
          <w:rFonts w:ascii="宋体" w:hAnsi="宋体" w:hint="eastAsia"/>
          <w:kern w:val="0"/>
          <w:sz w:val="24"/>
        </w:rPr>
        <w:lastRenderedPageBreak/>
        <w:t>限额以上单位消费品零售额11694亿元，同比增速为5.1%，与去年同期5.6%的增速相比亦有下滑。刨去五一错期的因素，2019年5月的社会消费品总额同比增速相对于去年同期增速有所下滑。</w:t>
      </w:r>
    </w:p>
    <w:p w:rsidR="00301E27" w:rsidRPr="0095734F" w:rsidRDefault="00301E27" w:rsidP="0095734F">
      <w:pPr>
        <w:ind w:firstLineChars="200" w:firstLine="480"/>
        <w:rPr>
          <w:rFonts w:ascii="宋体" w:hAnsi="宋体"/>
          <w:kern w:val="0"/>
          <w:sz w:val="24"/>
        </w:rPr>
      </w:pPr>
      <w:r w:rsidRPr="0095734F">
        <w:rPr>
          <w:rFonts w:ascii="宋体" w:hAnsi="宋体" w:hint="eastAsia"/>
          <w:kern w:val="0"/>
          <w:sz w:val="24"/>
        </w:rPr>
        <w:t>根据中国汽车工业协会的统计数据，2019年5月份汽车销售量下降则更为明显。5月汽车销售191.26万辆，同比下降了16.40%，环比下降3.43%。其中，乘用车销售156.12万辆，同比下降17.37%，环比下降0.87%。商用车销售35.14万辆，同比下降11.79%，环比下降13.37%。从累计销售来看，2019年1-5月，汽车销售1026.59万辆，同比增速为-12.95%，而2018年1-5月累计同比增速为5.5%，相对回落了近18.5个百分点。其中，乘用车销售839.87万辆，同比增速为-15.17%，相对于去年同期的5.1%，回落了近20.3个百分点；同比下降15.17%；商用车销售186.72万辆，销量下降1.30%。</w:t>
      </w:r>
    </w:p>
    <w:p w:rsidR="00301E27" w:rsidRPr="0095734F" w:rsidRDefault="00301E27" w:rsidP="0095734F">
      <w:pPr>
        <w:ind w:firstLineChars="200" w:firstLine="480"/>
        <w:rPr>
          <w:rFonts w:ascii="方正姚体" w:eastAsia="方正姚体" w:hAnsi="宋体"/>
          <w:color w:val="00B050"/>
          <w:kern w:val="0"/>
          <w:sz w:val="24"/>
        </w:rPr>
      </w:pPr>
      <w:r w:rsidRPr="0095734F">
        <w:rPr>
          <w:rFonts w:ascii="方正姚体" w:eastAsia="方正姚体" w:hAnsi="宋体" w:hint="eastAsia"/>
          <w:color w:val="00B050"/>
          <w:kern w:val="0"/>
          <w:sz w:val="24"/>
        </w:rPr>
        <w:t>2.价格：CPI继续温和上涨，PPI涨幅有所回落</w:t>
      </w:r>
    </w:p>
    <w:p w:rsidR="00301E27" w:rsidRPr="0095734F" w:rsidRDefault="00301E27" w:rsidP="0095734F">
      <w:pPr>
        <w:ind w:firstLineChars="200" w:firstLine="480"/>
        <w:rPr>
          <w:rFonts w:ascii="宋体" w:hAnsi="宋体"/>
          <w:kern w:val="0"/>
          <w:sz w:val="24"/>
        </w:rPr>
      </w:pPr>
      <w:r w:rsidRPr="0095734F">
        <w:rPr>
          <w:rFonts w:ascii="宋体" w:hAnsi="宋体" w:hint="eastAsia"/>
          <w:kern w:val="0"/>
          <w:sz w:val="24"/>
        </w:rPr>
        <w:t>CPI食品价格</w:t>
      </w:r>
      <w:proofErr w:type="gramStart"/>
      <w:r w:rsidRPr="0095734F">
        <w:rPr>
          <w:rFonts w:ascii="宋体" w:hAnsi="宋体" w:hint="eastAsia"/>
          <w:kern w:val="0"/>
          <w:sz w:val="24"/>
        </w:rPr>
        <w:t>同比较</w:t>
      </w:r>
      <w:proofErr w:type="gramEnd"/>
      <w:r w:rsidRPr="0095734F">
        <w:rPr>
          <w:rFonts w:ascii="宋体" w:hAnsi="宋体" w:hint="eastAsia"/>
          <w:kern w:val="0"/>
          <w:sz w:val="24"/>
        </w:rPr>
        <w:t>大幅度上涨，推动CPI同比增速进一步上升。2019年5月份，居民消费者价格指数CPI同比上涨2.7%，较上月值2.5%增速增加0.2个百分点。按照食品与非食品大类来分，两者价格的涨幅出现较大分化，食品价格上涨成为CPI上涨的主要动力。</w:t>
      </w:r>
    </w:p>
    <w:p w:rsidR="00301E27" w:rsidRPr="0095734F" w:rsidRDefault="00301E27" w:rsidP="0095734F">
      <w:pPr>
        <w:ind w:firstLineChars="200" w:firstLine="480"/>
        <w:rPr>
          <w:rFonts w:ascii="宋体" w:hAnsi="宋体"/>
          <w:kern w:val="0"/>
          <w:sz w:val="24"/>
        </w:rPr>
      </w:pPr>
      <w:r w:rsidRPr="0095734F">
        <w:rPr>
          <w:rFonts w:ascii="宋体" w:hAnsi="宋体" w:hint="eastAsia"/>
          <w:kern w:val="0"/>
          <w:sz w:val="24"/>
        </w:rPr>
        <w:t>值得注意的是，我们需要采取一定的措施，防止CPI和PPI缺口的继续扩大和形成结构性通缩。2019年1月至2月PPI同比增速仅为0.1%，3月4月增速略有回升，但5月增速又放缓至0.6%，处于负增长的边缘，生产领域有通缩的风险。如果PPI持续低迷和CPI保持目前的2.5-2.7的同比增速，则会恶化工业企业的利润，降低其投资积极性并加剧PPI通缩的风险。因此，下半年需适当加大</w:t>
      </w:r>
      <w:proofErr w:type="gramStart"/>
      <w:r w:rsidRPr="0095734F">
        <w:rPr>
          <w:rFonts w:ascii="宋体" w:hAnsi="宋体" w:hint="eastAsia"/>
          <w:kern w:val="0"/>
          <w:sz w:val="24"/>
        </w:rPr>
        <w:t>稳投资</w:t>
      </w:r>
      <w:proofErr w:type="gramEnd"/>
      <w:r w:rsidRPr="0095734F">
        <w:rPr>
          <w:rFonts w:ascii="宋体" w:hAnsi="宋体" w:hint="eastAsia"/>
          <w:kern w:val="0"/>
          <w:sz w:val="24"/>
        </w:rPr>
        <w:t>的政策力度，增加对重点行业的投资需求。与此同时，需要进一步推进供给侧结构性改革，防止低效过剩产能对价格的压制。考虑到基建投资增速下滑趋势对需求影响，以及原油等国际大宗商品价格下降对成本传导影响，2019年下半年PPI同比增速为-0.2%，PPI全年增速为0.2%。</w:t>
      </w:r>
    </w:p>
    <w:p w:rsidR="00301E27" w:rsidRPr="0095734F" w:rsidRDefault="00301E27" w:rsidP="0095734F">
      <w:pPr>
        <w:ind w:firstLineChars="200" w:firstLine="482"/>
        <w:rPr>
          <w:rFonts w:ascii="楷体" w:eastAsia="楷体" w:hAnsi="楷体" w:cstheme="minorBidi"/>
          <w:b/>
          <w:color w:val="C00000"/>
          <w:sz w:val="24"/>
        </w:rPr>
      </w:pPr>
      <w:r w:rsidRPr="0095734F">
        <w:rPr>
          <w:rFonts w:ascii="楷体" w:eastAsia="楷体" w:hAnsi="楷体" w:cstheme="minorBidi" w:hint="eastAsia"/>
          <w:b/>
          <w:color w:val="C00000"/>
          <w:sz w:val="24"/>
        </w:rPr>
        <w:t>（三）国际贸易与国际收支：贸易战直接影响可控，警惕外资波动风险</w:t>
      </w:r>
    </w:p>
    <w:p w:rsidR="00301E27" w:rsidRPr="0095734F" w:rsidRDefault="00301E27" w:rsidP="0095734F">
      <w:pPr>
        <w:ind w:firstLineChars="200" w:firstLine="480"/>
        <w:rPr>
          <w:rFonts w:ascii="宋体" w:hAnsi="宋体"/>
          <w:kern w:val="0"/>
          <w:sz w:val="24"/>
        </w:rPr>
      </w:pPr>
      <w:r w:rsidRPr="0095734F">
        <w:rPr>
          <w:rFonts w:ascii="宋体" w:hAnsi="宋体" w:hint="eastAsia"/>
          <w:kern w:val="0"/>
          <w:sz w:val="24"/>
        </w:rPr>
        <w:t>2019年以来，随着中美贸易摩擦的加剧升级，中国、美国及其他国家的对外贸易都受到不同程度的影响。中国的进出口虽然都受到一定程度的冲击，但负面影响整体可控，贸易顺差增速平稳。与2009年相比，当前的进出口增速下滑是较为温和的；外国来华直接投资增速仍</w:t>
      </w:r>
      <w:proofErr w:type="gramStart"/>
      <w:r w:rsidRPr="0095734F">
        <w:rPr>
          <w:rFonts w:ascii="宋体" w:hAnsi="宋体" w:hint="eastAsia"/>
          <w:kern w:val="0"/>
          <w:sz w:val="24"/>
        </w:rPr>
        <w:t>保持正</w:t>
      </w:r>
      <w:proofErr w:type="gramEnd"/>
      <w:r w:rsidRPr="0095734F">
        <w:rPr>
          <w:rFonts w:ascii="宋体" w:hAnsi="宋体" w:hint="eastAsia"/>
          <w:kern w:val="0"/>
          <w:sz w:val="24"/>
        </w:rPr>
        <w:t>增长，且剔除香港来华投资的影响后外国直接投资增速更高；尽管2018年经常账户顺差较小，但2019年1-4月货物贸易顺差同比增加、服务贸易逆差同比减小，国际收支压力改</w:t>
      </w:r>
      <w:r w:rsidR="00A74423" w:rsidRPr="0095734F">
        <w:rPr>
          <w:rFonts w:ascii="宋体" w:hAnsi="宋体" w:hint="eastAsia"/>
          <w:kern w:val="0"/>
          <w:sz w:val="24"/>
        </w:rPr>
        <w:t>善。尽管当前冲击较为温和，但仍需警惕外资波动风险。</w:t>
      </w:r>
    </w:p>
    <w:p w:rsidR="00301E27" w:rsidRPr="0095734F" w:rsidRDefault="00301E27" w:rsidP="0095734F">
      <w:pPr>
        <w:ind w:firstLineChars="200" w:firstLine="480"/>
        <w:rPr>
          <w:rFonts w:ascii="方正姚体" w:eastAsia="方正姚体" w:hAnsi="宋体"/>
          <w:color w:val="00B050"/>
          <w:kern w:val="0"/>
          <w:sz w:val="24"/>
        </w:rPr>
      </w:pPr>
      <w:r w:rsidRPr="0095734F">
        <w:rPr>
          <w:rFonts w:ascii="方正姚体" w:eastAsia="方正姚体" w:hAnsi="宋体" w:hint="eastAsia"/>
          <w:color w:val="00B050"/>
          <w:kern w:val="0"/>
          <w:sz w:val="24"/>
        </w:rPr>
        <w:t>1.进出口贸易的总体情况</w:t>
      </w:r>
    </w:p>
    <w:p w:rsidR="00301E27" w:rsidRPr="0095734F" w:rsidRDefault="00301E27" w:rsidP="0095734F">
      <w:pPr>
        <w:ind w:firstLineChars="200" w:firstLine="480"/>
        <w:rPr>
          <w:rFonts w:ascii="宋体" w:hAnsi="宋体"/>
          <w:kern w:val="0"/>
          <w:sz w:val="24"/>
        </w:rPr>
      </w:pPr>
      <w:r w:rsidRPr="0095734F">
        <w:rPr>
          <w:rFonts w:ascii="宋体" w:hAnsi="宋体" w:hint="eastAsia"/>
          <w:kern w:val="0"/>
          <w:sz w:val="24"/>
        </w:rPr>
        <w:t>尽管旨在通过对中国实施大量进口关税以降低贸易失衡，美国的对外贸易逆差不降反升。中美之间的贸易摩擦对东亚、东南亚以及拉美等地区国家的影响也已逐步有所体现。在全球经济一体化的背景下，中美之间的贸易纷争正使得全球价值</w:t>
      </w:r>
      <w:proofErr w:type="gramStart"/>
      <w:r w:rsidRPr="0095734F">
        <w:rPr>
          <w:rFonts w:ascii="宋体" w:hAnsi="宋体" w:hint="eastAsia"/>
          <w:kern w:val="0"/>
          <w:sz w:val="24"/>
        </w:rPr>
        <w:t>链面临</w:t>
      </w:r>
      <w:proofErr w:type="gramEnd"/>
      <w:r w:rsidRPr="0095734F">
        <w:rPr>
          <w:rFonts w:ascii="宋体" w:hAnsi="宋体" w:hint="eastAsia"/>
          <w:kern w:val="0"/>
          <w:sz w:val="24"/>
        </w:rPr>
        <w:t>断裂的风险。中国需坚守底线思维，在做出适当和必要的反制的同时，进一步扩大开放和深化改革，巩固经济自发增长动力，并夯实与“一带一路”国家的投资经贸合作。</w:t>
      </w:r>
    </w:p>
    <w:p w:rsidR="00301E27" w:rsidRPr="0095734F" w:rsidRDefault="00301E27" w:rsidP="0095734F">
      <w:pPr>
        <w:ind w:firstLineChars="200" w:firstLine="480"/>
        <w:rPr>
          <w:rFonts w:ascii="方正姚体" w:eastAsia="方正姚体" w:hAnsi="宋体"/>
          <w:color w:val="00B050"/>
          <w:kern w:val="0"/>
          <w:sz w:val="24"/>
        </w:rPr>
      </w:pPr>
      <w:r w:rsidRPr="0095734F">
        <w:rPr>
          <w:rFonts w:ascii="方正姚体" w:eastAsia="方正姚体" w:hAnsi="宋体" w:hint="eastAsia"/>
          <w:color w:val="00B050"/>
          <w:kern w:val="0"/>
          <w:sz w:val="24"/>
        </w:rPr>
        <w:t>2.中美贸易摩擦对全球贸易的影响</w:t>
      </w:r>
    </w:p>
    <w:p w:rsidR="00301E27" w:rsidRPr="0095734F" w:rsidRDefault="00301E27" w:rsidP="0095734F">
      <w:pPr>
        <w:ind w:firstLineChars="200" w:firstLine="480"/>
        <w:rPr>
          <w:rFonts w:ascii="宋体" w:hAnsi="宋体"/>
          <w:kern w:val="0"/>
          <w:sz w:val="24"/>
        </w:rPr>
      </w:pPr>
      <w:r w:rsidRPr="0095734F">
        <w:rPr>
          <w:rFonts w:ascii="宋体" w:hAnsi="宋体" w:hint="eastAsia"/>
          <w:kern w:val="0"/>
          <w:sz w:val="24"/>
        </w:rPr>
        <w:lastRenderedPageBreak/>
        <w:t>在中美贸易摩擦中，美国固守零和博弈的思维，对中国的近半数商品加征20%的关税，然而这并未能帮助美国改善贸易条件和缩小贸易失衡。</w:t>
      </w:r>
    </w:p>
    <w:p w:rsidR="00301E27" w:rsidRPr="0095734F" w:rsidRDefault="00301E27" w:rsidP="0095734F">
      <w:pPr>
        <w:ind w:firstLineChars="200" w:firstLine="480"/>
        <w:rPr>
          <w:rFonts w:ascii="方正姚体" w:eastAsia="方正姚体" w:hAnsi="宋体"/>
          <w:color w:val="00B050"/>
          <w:kern w:val="0"/>
          <w:sz w:val="24"/>
        </w:rPr>
      </w:pPr>
      <w:r w:rsidRPr="0095734F">
        <w:rPr>
          <w:rFonts w:ascii="方正姚体" w:eastAsia="方正姚体" w:hAnsi="宋体" w:hint="eastAsia"/>
          <w:color w:val="00B050"/>
          <w:kern w:val="0"/>
          <w:sz w:val="24"/>
        </w:rPr>
        <w:t>3.直接投资：实际使用外资稳定增长，外资撤离苗头应引起重视</w:t>
      </w:r>
    </w:p>
    <w:p w:rsidR="00A74423" w:rsidRPr="0095734F" w:rsidRDefault="00301E27" w:rsidP="0095734F">
      <w:pPr>
        <w:ind w:firstLineChars="200" w:firstLine="480"/>
        <w:rPr>
          <w:rFonts w:ascii="宋体" w:hAnsi="宋体"/>
          <w:kern w:val="0"/>
          <w:sz w:val="24"/>
        </w:rPr>
      </w:pPr>
      <w:r w:rsidRPr="0095734F">
        <w:rPr>
          <w:rFonts w:ascii="宋体" w:hAnsi="宋体" w:hint="eastAsia"/>
          <w:kern w:val="0"/>
          <w:sz w:val="24"/>
        </w:rPr>
        <w:t>贸易摩擦以来，从实际使用外资金额的数据来看，中国维持了去年以来的稳定增长态势。</w:t>
      </w:r>
    </w:p>
    <w:p w:rsidR="00301E27" w:rsidRPr="0095734F" w:rsidRDefault="00301E27" w:rsidP="0095734F">
      <w:pPr>
        <w:ind w:firstLineChars="200" w:firstLine="480"/>
        <w:rPr>
          <w:rFonts w:ascii="宋体" w:hAnsi="宋体"/>
          <w:kern w:val="0"/>
          <w:sz w:val="24"/>
        </w:rPr>
      </w:pPr>
      <w:r w:rsidRPr="0095734F">
        <w:rPr>
          <w:rFonts w:ascii="宋体" w:hAnsi="宋体" w:hint="eastAsia"/>
          <w:kern w:val="0"/>
          <w:sz w:val="24"/>
        </w:rPr>
        <w:t>在中美贸易摩擦的背景下，我国外商直接投资保持稳定增长，表现出对外资较强的吸引力。这一方面归因于我国一直以来广阔的消费市场、不断完备的基础设施和配套产业体系；同时也归因于近年来我国不断优化的营商环境，特别是今年3月全国人大审议通过了《中华人民共和国外商投资法》，这也是我国第一部外商投资领域统一的基础性法律。不久之后新版《外商投资准入负面清单》和《鼓励外商投资产业目录》也即将发布，显示了中国鉴定进一步扩大开放的决心。</w:t>
      </w:r>
    </w:p>
    <w:p w:rsidR="00301E27" w:rsidRPr="0095734F" w:rsidRDefault="00301E27" w:rsidP="0095734F">
      <w:pPr>
        <w:ind w:firstLineChars="200" w:firstLine="482"/>
        <w:rPr>
          <w:rFonts w:ascii="楷体" w:eastAsia="楷体" w:hAnsi="楷体" w:cstheme="minorBidi"/>
          <w:b/>
          <w:color w:val="C00000"/>
          <w:sz w:val="24"/>
        </w:rPr>
      </w:pPr>
      <w:r w:rsidRPr="0095734F">
        <w:rPr>
          <w:rFonts w:ascii="楷体" w:eastAsia="楷体" w:hAnsi="楷体" w:cstheme="minorBidi" w:hint="eastAsia"/>
          <w:b/>
          <w:color w:val="C00000"/>
          <w:sz w:val="24"/>
        </w:rPr>
        <w:t>（四）房地产：投资整体趋缓市场分化凸显</w:t>
      </w:r>
    </w:p>
    <w:p w:rsidR="00301E27" w:rsidRPr="0095734F" w:rsidRDefault="00301E27" w:rsidP="0095734F">
      <w:pPr>
        <w:ind w:firstLineChars="200" w:firstLine="480"/>
        <w:rPr>
          <w:rFonts w:ascii="宋体" w:hAnsi="宋体"/>
          <w:kern w:val="0"/>
          <w:sz w:val="24"/>
        </w:rPr>
      </w:pPr>
      <w:r w:rsidRPr="0095734F">
        <w:rPr>
          <w:rFonts w:ascii="宋体" w:hAnsi="宋体" w:hint="eastAsia"/>
          <w:kern w:val="0"/>
          <w:sz w:val="24"/>
        </w:rPr>
        <w:t>2019年1—5月份，全国房地产开发投资46075亿元，同比增长11.2%；商品房销售面积55518万平方米，同比下降1.6%，商品房销售额51773亿元，增长6.1%；5月份，房地产开发景气指数为100.85。2019年上半年以来，房地产开发投资同比增速较2018年下半年有所回升，但是商品房销售情况出现大幅滑落，其中商品房销售面积连续五个月出现同比负增长。房地产开发景气指数也低于2018年。其中一线城市新建商品住宅和</w:t>
      </w:r>
      <w:proofErr w:type="gramStart"/>
      <w:r w:rsidRPr="0095734F">
        <w:rPr>
          <w:rFonts w:ascii="宋体" w:hAnsi="宋体" w:hint="eastAsia"/>
          <w:kern w:val="0"/>
          <w:sz w:val="24"/>
        </w:rPr>
        <w:t>二手住宅</w:t>
      </w:r>
      <w:proofErr w:type="gramEnd"/>
      <w:r w:rsidRPr="0095734F">
        <w:rPr>
          <w:rFonts w:ascii="宋体" w:hAnsi="宋体" w:hint="eastAsia"/>
          <w:kern w:val="0"/>
          <w:sz w:val="24"/>
        </w:rPr>
        <w:t>销售价格环比涨幅均略有扩大；而三线城市新建商品住宅销售价格涨幅回落，</w:t>
      </w:r>
      <w:proofErr w:type="gramStart"/>
      <w:r w:rsidRPr="0095734F">
        <w:rPr>
          <w:rFonts w:ascii="宋体" w:hAnsi="宋体" w:hint="eastAsia"/>
          <w:kern w:val="0"/>
          <w:sz w:val="24"/>
        </w:rPr>
        <w:t>二手住宅涨幅</w:t>
      </w:r>
      <w:proofErr w:type="gramEnd"/>
      <w:r w:rsidRPr="0095734F">
        <w:rPr>
          <w:rFonts w:ascii="宋体" w:hAnsi="宋体" w:hint="eastAsia"/>
          <w:kern w:val="0"/>
          <w:sz w:val="24"/>
        </w:rPr>
        <w:t>微扩。</w:t>
      </w:r>
    </w:p>
    <w:p w:rsidR="00301E27" w:rsidRPr="0095734F" w:rsidRDefault="00301E27" w:rsidP="0095734F">
      <w:pPr>
        <w:ind w:firstLineChars="200" w:firstLine="482"/>
        <w:rPr>
          <w:rFonts w:ascii="楷体" w:eastAsia="楷体" w:hAnsi="楷体" w:cstheme="minorBidi"/>
          <w:b/>
          <w:color w:val="C00000"/>
          <w:sz w:val="24"/>
        </w:rPr>
      </w:pPr>
      <w:r w:rsidRPr="0095734F">
        <w:rPr>
          <w:rFonts w:ascii="楷体" w:eastAsia="楷体" w:hAnsi="楷体" w:cstheme="minorBidi" w:hint="eastAsia"/>
          <w:b/>
          <w:color w:val="C00000"/>
          <w:sz w:val="24"/>
        </w:rPr>
        <w:t>（五）股市：信心不足导致市场低迷，政策应采取积极应对措施</w:t>
      </w:r>
    </w:p>
    <w:p w:rsidR="00301E27" w:rsidRPr="0095734F" w:rsidRDefault="00301E27" w:rsidP="0095734F">
      <w:pPr>
        <w:ind w:firstLineChars="200" w:firstLine="480"/>
        <w:rPr>
          <w:rFonts w:ascii="方正姚体" w:eastAsia="方正姚体" w:hAnsi="宋体"/>
          <w:color w:val="00B050"/>
          <w:kern w:val="0"/>
          <w:sz w:val="24"/>
        </w:rPr>
      </w:pPr>
      <w:r w:rsidRPr="0095734F">
        <w:rPr>
          <w:rFonts w:ascii="方正姚体" w:eastAsia="方正姚体" w:hAnsi="宋体" w:hint="eastAsia"/>
          <w:color w:val="00B050"/>
          <w:kern w:val="0"/>
          <w:sz w:val="24"/>
        </w:rPr>
        <w:t>1.中美冲突背景下中国股市波动较大，抗压能力低</w:t>
      </w:r>
    </w:p>
    <w:p w:rsidR="00301E27" w:rsidRPr="0095734F" w:rsidRDefault="00301E27" w:rsidP="0095734F">
      <w:pPr>
        <w:ind w:firstLineChars="200" w:firstLine="480"/>
        <w:rPr>
          <w:rFonts w:ascii="宋体" w:hAnsi="宋体"/>
          <w:kern w:val="0"/>
          <w:sz w:val="24"/>
        </w:rPr>
      </w:pPr>
      <w:r w:rsidRPr="0095734F">
        <w:rPr>
          <w:rFonts w:ascii="宋体" w:hAnsi="宋体" w:hint="eastAsia"/>
          <w:kern w:val="0"/>
          <w:sz w:val="24"/>
        </w:rPr>
        <w:t>美国挑起对华贸易冲突以来，中美两国在多个战场展开了较量，股市是其中一个极其重要的战场。一年多以来，凡遇与贸易战有关的重大新闻或时点，都会迅速在中美两国的股市上反应出来。相比于“贸易”这一主战场，中国在股市这一“战场”表现不佳、信心不足。</w:t>
      </w:r>
    </w:p>
    <w:p w:rsidR="00301E27" w:rsidRPr="0095734F" w:rsidRDefault="00301E27" w:rsidP="0095734F">
      <w:pPr>
        <w:ind w:firstLineChars="200" w:firstLine="480"/>
        <w:rPr>
          <w:rFonts w:ascii="方正姚体" w:eastAsia="方正姚体" w:hAnsi="宋体"/>
          <w:color w:val="00B050"/>
          <w:kern w:val="0"/>
          <w:sz w:val="24"/>
        </w:rPr>
      </w:pPr>
      <w:r w:rsidRPr="0095734F">
        <w:rPr>
          <w:rFonts w:ascii="方正姚体" w:eastAsia="方正姚体" w:hAnsi="宋体" w:hint="eastAsia"/>
          <w:color w:val="00B050"/>
          <w:kern w:val="0"/>
          <w:sz w:val="24"/>
        </w:rPr>
        <w:t>2.中长期看，中国股市具备良好投资价值</w:t>
      </w:r>
    </w:p>
    <w:p w:rsidR="00301E27" w:rsidRPr="0095734F" w:rsidRDefault="00301E27" w:rsidP="0095734F">
      <w:pPr>
        <w:ind w:firstLineChars="200" w:firstLine="480"/>
        <w:rPr>
          <w:rFonts w:ascii="宋体" w:hAnsi="宋体"/>
          <w:kern w:val="0"/>
          <w:sz w:val="24"/>
        </w:rPr>
      </w:pPr>
      <w:r w:rsidRPr="0095734F">
        <w:rPr>
          <w:rFonts w:ascii="宋体" w:hAnsi="宋体" w:hint="eastAsia"/>
          <w:kern w:val="0"/>
          <w:sz w:val="24"/>
        </w:rPr>
        <w:t>中长期看中国股市仍具备良好投资价值，中国股市高质量发展前景可期。一是，中国A股目前的估值水平无论是与自身历史平均水平相比，还是与全球主要市场估值水平相比，均处于较低水平。相比于中国股市历史平均市盈率，当前的估值水平也处于低位。考虑到中国经济中高速的增长水平和居民财富积累速度，中国股市的长期投资价值已经凸显，尤其是大型蓝筹股的估值水平已经很低，具备良好的价值投资前景。二是，中国经济中长期增长具备“三好条件”，科技创新能力持续提高，优秀企业源源不断涌现和成长，这是中国资本市场最大的源头活水。三是，资本市场自身的改革也在加快，</w:t>
      </w:r>
      <w:proofErr w:type="gramStart"/>
      <w:r w:rsidRPr="0095734F">
        <w:rPr>
          <w:rFonts w:ascii="宋体" w:hAnsi="宋体" w:hint="eastAsia"/>
          <w:kern w:val="0"/>
          <w:sz w:val="24"/>
        </w:rPr>
        <w:t>科创板</w:t>
      </w:r>
      <w:proofErr w:type="gramEnd"/>
      <w:r w:rsidRPr="0095734F">
        <w:rPr>
          <w:rFonts w:ascii="宋体" w:hAnsi="宋体" w:hint="eastAsia"/>
          <w:kern w:val="0"/>
          <w:sz w:val="24"/>
        </w:rPr>
        <w:t>和注册制已经推出，未来资本市场的市场化程度和开放程度将持续提高，而中美贸易冲突客观上将倒逼中国资本市场加速改革步伐。第四，党和国家对资本市场发展高度重视，提高直接融资比较尤其是股权融资比重，不仅是金融供给</w:t>
      </w:r>
      <w:proofErr w:type="gramStart"/>
      <w:r w:rsidRPr="0095734F">
        <w:rPr>
          <w:rFonts w:ascii="宋体" w:hAnsi="宋体" w:hint="eastAsia"/>
          <w:kern w:val="0"/>
          <w:sz w:val="24"/>
        </w:rPr>
        <w:t>侧改革</w:t>
      </w:r>
      <w:proofErr w:type="gramEnd"/>
      <w:r w:rsidRPr="0095734F">
        <w:rPr>
          <w:rFonts w:ascii="宋体" w:hAnsi="宋体" w:hint="eastAsia"/>
          <w:kern w:val="0"/>
          <w:sz w:val="24"/>
        </w:rPr>
        <w:t>的必然取向，也是中国经济高质量发展的必然要求。资本市场改革与发展已经被提高到极其重要的地位，在整个中国金融体系中发挥着牵一发而动全身的关键作用。</w:t>
      </w:r>
    </w:p>
    <w:p w:rsidR="00301E27" w:rsidRPr="0095734F" w:rsidRDefault="00301E27" w:rsidP="0095734F">
      <w:pPr>
        <w:ind w:firstLineChars="200" w:firstLine="480"/>
        <w:rPr>
          <w:rFonts w:ascii="方正姚体" w:eastAsia="方正姚体" w:hAnsi="宋体"/>
          <w:color w:val="00B050"/>
          <w:kern w:val="0"/>
          <w:sz w:val="24"/>
        </w:rPr>
      </w:pPr>
      <w:r w:rsidRPr="0095734F">
        <w:rPr>
          <w:rFonts w:ascii="方正姚体" w:eastAsia="方正姚体" w:hAnsi="宋体" w:hint="eastAsia"/>
          <w:color w:val="00B050"/>
          <w:kern w:val="0"/>
          <w:sz w:val="24"/>
        </w:rPr>
        <w:t>3.如何打造高质量发展的中国股市？</w:t>
      </w:r>
    </w:p>
    <w:p w:rsidR="00301E27" w:rsidRPr="0095734F" w:rsidRDefault="00301E27" w:rsidP="0095734F">
      <w:pPr>
        <w:ind w:firstLineChars="200" w:firstLine="480"/>
        <w:rPr>
          <w:rFonts w:ascii="宋体" w:hAnsi="宋体"/>
          <w:kern w:val="0"/>
          <w:sz w:val="24"/>
        </w:rPr>
      </w:pPr>
      <w:r w:rsidRPr="0095734F">
        <w:rPr>
          <w:rFonts w:ascii="宋体" w:hAnsi="宋体" w:hint="eastAsia"/>
          <w:kern w:val="0"/>
          <w:sz w:val="24"/>
        </w:rPr>
        <w:lastRenderedPageBreak/>
        <w:t>第一，鼓励和支持有条件的上市公司开展股票回购业务，短期可稳定股市信心和社会预期，长期可助力上市公司高质量发展。</w:t>
      </w:r>
    </w:p>
    <w:p w:rsidR="00301E27" w:rsidRPr="0095734F" w:rsidRDefault="00301E27" w:rsidP="0095734F">
      <w:pPr>
        <w:ind w:firstLineChars="200" w:firstLine="480"/>
        <w:rPr>
          <w:rFonts w:ascii="宋体" w:hAnsi="宋体"/>
          <w:kern w:val="0"/>
          <w:sz w:val="24"/>
        </w:rPr>
      </w:pPr>
      <w:r w:rsidRPr="0095734F">
        <w:rPr>
          <w:rFonts w:ascii="宋体" w:hAnsi="宋体" w:hint="eastAsia"/>
          <w:kern w:val="0"/>
          <w:sz w:val="24"/>
        </w:rPr>
        <w:t>第二，启动研究海外上市的高质量公司回A股战略，不仅是提高我国上市公司质量的必要举措，更是确保我国科技安全和经济安全的必然选择。过去十多年一大批发展前景好、盈利能力强、创新动力足的高质量中国企业因为种种原因选择远赴海外尤其是美国上市，让中国资本市场痛失了一批最能反映中国经济新动能、最具活力的优质企业。</w:t>
      </w:r>
    </w:p>
    <w:p w:rsidR="00301E27" w:rsidRPr="0095734F" w:rsidRDefault="00301E27" w:rsidP="0095734F">
      <w:pPr>
        <w:ind w:firstLineChars="200" w:firstLine="480"/>
        <w:rPr>
          <w:rFonts w:ascii="宋体" w:hAnsi="宋体"/>
          <w:kern w:val="0"/>
          <w:sz w:val="24"/>
        </w:rPr>
      </w:pPr>
      <w:r w:rsidRPr="0095734F">
        <w:rPr>
          <w:rFonts w:ascii="宋体" w:hAnsi="宋体" w:hint="eastAsia"/>
          <w:kern w:val="0"/>
          <w:sz w:val="24"/>
        </w:rPr>
        <w:t>第三，盘活存量壳资源，加快A股市场“腾笼换鸟”的节奏，从根本上打造有活力、有韧性的资本市场。</w:t>
      </w:r>
    </w:p>
    <w:p w:rsidR="00301E27" w:rsidRPr="0095734F" w:rsidRDefault="00301E27" w:rsidP="0095734F">
      <w:pPr>
        <w:ind w:firstLineChars="200" w:firstLine="480"/>
        <w:rPr>
          <w:rFonts w:ascii="宋体" w:hAnsi="宋体"/>
          <w:kern w:val="0"/>
          <w:sz w:val="24"/>
        </w:rPr>
      </w:pPr>
      <w:r w:rsidRPr="0095734F">
        <w:rPr>
          <w:rFonts w:ascii="宋体" w:hAnsi="宋体" w:hint="eastAsia"/>
          <w:kern w:val="0"/>
          <w:sz w:val="24"/>
        </w:rPr>
        <w:t>第四，推动股票市场法制建设，加强执法力量和力度，从根本上保障股市的健康发展。经过近三十年的发展，中国的股票市场法制建设已经取得一定成效，但仍有较大提升空间。夯实法制基础是当前中国股票市场健康发展的关键。</w:t>
      </w:r>
    </w:p>
    <w:p w:rsidR="00301E27" w:rsidRPr="0095734F" w:rsidRDefault="00301E27" w:rsidP="0095734F">
      <w:pPr>
        <w:ind w:firstLineChars="200" w:firstLine="480"/>
        <w:rPr>
          <w:rFonts w:ascii="方正姚体" w:eastAsia="方正姚体" w:hAnsi="宋体"/>
          <w:color w:val="00B050"/>
          <w:kern w:val="0"/>
          <w:sz w:val="24"/>
        </w:rPr>
      </w:pPr>
      <w:r w:rsidRPr="0095734F">
        <w:rPr>
          <w:rFonts w:ascii="方正姚体" w:eastAsia="方正姚体" w:hAnsi="宋体" w:hint="eastAsia"/>
          <w:color w:val="00B050"/>
          <w:kern w:val="0"/>
          <w:sz w:val="24"/>
        </w:rPr>
        <w:t>4.包商银行事件：中小银行总体风险完全可控</w:t>
      </w:r>
    </w:p>
    <w:p w:rsidR="00301E27" w:rsidRPr="0095734F" w:rsidRDefault="00301E27" w:rsidP="0095734F">
      <w:pPr>
        <w:ind w:firstLineChars="200" w:firstLine="480"/>
        <w:rPr>
          <w:rFonts w:ascii="宋体" w:hAnsi="宋体"/>
          <w:kern w:val="0"/>
          <w:sz w:val="24"/>
        </w:rPr>
      </w:pPr>
      <w:r w:rsidRPr="0095734F">
        <w:rPr>
          <w:rFonts w:ascii="宋体" w:hAnsi="宋体" w:hint="eastAsia"/>
          <w:kern w:val="0"/>
          <w:sz w:val="24"/>
        </w:rPr>
        <w:t>2019年5月，</w:t>
      </w:r>
      <w:proofErr w:type="gramStart"/>
      <w:r w:rsidRPr="0095734F">
        <w:rPr>
          <w:rFonts w:ascii="宋体" w:hAnsi="宋体" w:hint="eastAsia"/>
          <w:kern w:val="0"/>
          <w:sz w:val="24"/>
        </w:rPr>
        <w:t>央行银</w:t>
      </w:r>
      <w:proofErr w:type="gramEnd"/>
      <w:r w:rsidRPr="0095734F">
        <w:rPr>
          <w:rFonts w:ascii="宋体" w:hAnsi="宋体" w:hint="eastAsia"/>
          <w:kern w:val="0"/>
          <w:sz w:val="24"/>
        </w:rPr>
        <w:t>保监会联合宣布包商银行出现严重信用风险，为保护存款人和其他客户合法权益，决定对包商银行实行接管。包商银行是继1998年海发行倒闭20年来，第一家被接管的商业银行。该事件打破了同业刚兑预期，暴露出中小银行发展中存在的问题，引发了市场对于金融体系流动性风险蔓延的担忧。但我们认为，包</w:t>
      </w:r>
      <w:proofErr w:type="gramStart"/>
      <w:r w:rsidRPr="0095734F">
        <w:rPr>
          <w:rFonts w:ascii="宋体" w:hAnsi="宋体" w:hint="eastAsia"/>
          <w:kern w:val="0"/>
          <w:sz w:val="24"/>
        </w:rPr>
        <w:t>商事件</w:t>
      </w:r>
      <w:proofErr w:type="gramEnd"/>
      <w:r w:rsidRPr="0095734F">
        <w:rPr>
          <w:rFonts w:ascii="宋体" w:hAnsi="宋体" w:hint="eastAsia"/>
          <w:kern w:val="0"/>
          <w:sz w:val="24"/>
        </w:rPr>
        <w:t>属于风险主动暴露，中小银行总体风险完全可控，不会引发系统性金融危机。</w:t>
      </w:r>
    </w:p>
    <w:p w:rsidR="00301E27" w:rsidRPr="00396D71" w:rsidRDefault="00301E27" w:rsidP="0095734F">
      <w:pPr>
        <w:ind w:firstLineChars="200" w:firstLine="480"/>
        <w:rPr>
          <w:rFonts w:ascii="华文仿宋" w:eastAsia="华文仿宋" w:hAnsi="华文仿宋" w:cstheme="minorBidi"/>
          <w:b/>
          <w:color w:val="7030A0"/>
          <w:sz w:val="24"/>
        </w:rPr>
      </w:pPr>
      <w:r w:rsidRPr="00396D71">
        <w:rPr>
          <w:rFonts w:ascii="华文仿宋" w:eastAsia="华文仿宋" w:hAnsi="华文仿宋" w:cstheme="minorBidi" w:hint="eastAsia"/>
          <w:b/>
          <w:color w:val="7030A0"/>
          <w:sz w:val="24"/>
        </w:rPr>
        <w:t>二、专题讨论</w:t>
      </w:r>
    </w:p>
    <w:p w:rsidR="00301E27" w:rsidRPr="0095734F" w:rsidRDefault="00301E27" w:rsidP="0095734F">
      <w:pPr>
        <w:ind w:firstLineChars="200" w:firstLine="482"/>
        <w:rPr>
          <w:rFonts w:ascii="楷体" w:eastAsia="楷体" w:hAnsi="楷体" w:cstheme="minorBidi"/>
          <w:b/>
          <w:color w:val="C00000"/>
          <w:sz w:val="24"/>
        </w:rPr>
      </w:pPr>
      <w:r w:rsidRPr="0095734F">
        <w:rPr>
          <w:rFonts w:ascii="楷体" w:eastAsia="楷体" w:hAnsi="楷体" w:cstheme="minorBidi" w:hint="eastAsia"/>
          <w:b/>
          <w:color w:val="C00000"/>
          <w:sz w:val="24"/>
        </w:rPr>
        <w:t>（一）产业升级与技术创新：产业升级潜力巨大，需出台政策加快释放</w:t>
      </w:r>
    </w:p>
    <w:p w:rsidR="00301E27" w:rsidRPr="0095734F" w:rsidRDefault="00301E27" w:rsidP="0095734F">
      <w:pPr>
        <w:ind w:firstLineChars="200" w:firstLine="480"/>
        <w:rPr>
          <w:rFonts w:ascii="方正姚体" w:eastAsia="方正姚体" w:hAnsi="宋体"/>
          <w:color w:val="00B050"/>
          <w:kern w:val="0"/>
          <w:sz w:val="24"/>
        </w:rPr>
      </w:pPr>
      <w:r w:rsidRPr="0095734F">
        <w:rPr>
          <w:rFonts w:ascii="方正姚体" w:eastAsia="方正姚体" w:hAnsi="宋体" w:hint="eastAsia"/>
          <w:color w:val="00B050"/>
          <w:kern w:val="0"/>
          <w:sz w:val="24"/>
        </w:rPr>
        <w:t>1.产业升级：红利释放，推动中国经济持续增长</w:t>
      </w:r>
    </w:p>
    <w:p w:rsidR="00301E27" w:rsidRPr="0095734F" w:rsidRDefault="00301E27" w:rsidP="0095734F">
      <w:pPr>
        <w:ind w:firstLineChars="200" w:firstLine="480"/>
        <w:rPr>
          <w:rFonts w:ascii="宋体" w:hAnsi="宋体"/>
          <w:kern w:val="0"/>
          <w:sz w:val="24"/>
        </w:rPr>
      </w:pPr>
      <w:r w:rsidRPr="0095734F">
        <w:rPr>
          <w:rFonts w:ascii="宋体" w:hAnsi="宋体" w:hint="eastAsia"/>
          <w:kern w:val="0"/>
          <w:sz w:val="24"/>
        </w:rPr>
        <w:t>建设先进产能，推动产业转型升级将成为中国经济可持续增长的引擎。改革开放以来，中国已经享受到产业升级带来的巨大红利，在中长期的发展过程中，产业升级仍将扮演重要角色将来经济的持续增长。一方面，中国现有产业升级空间巨大，产业升级将拉动投资；同时产业升级也将提供现有产业的生产效率，从而获得更高的收益率。</w:t>
      </w:r>
    </w:p>
    <w:p w:rsidR="00301E27" w:rsidRPr="0095734F" w:rsidRDefault="00301E27" w:rsidP="0095734F">
      <w:pPr>
        <w:ind w:firstLineChars="200" w:firstLine="480"/>
        <w:rPr>
          <w:rFonts w:ascii="方正姚体" w:eastAsia="方正姚体" w:hAnsi="宋体"/>
          <w:color w:val="00B050"/>
          <w:kern w:val="0"/>
          <w:sz w:val="24"/>
        </w:rPr>
      </w:pPr>
      <w:r w:rsidRPr="0095734F">
        <w:rPr>
          <w:rFonts w:ascii="方正姚体" w:eastAsia="方正姚体" w:hAnsi="宋体" w:hint="eastAsia"/>
          <w:color w:val="00B050"/>
          <w:kern w:val="0"/>
          <w:sz w:val="24"/>
        </w:rPr>
        <w:t>2.技术创新：正视中美技术差异，立足优势，攻坚克难</w:t>
      </w:r>
    </w:p>
    <w:p w:rsidR="00301E27" w:rsidRPr="0095734F" w:rsidRDefault="00301E27" w:rsidP="0095734F">
      <w:pPr>
        <w:ind w:firstLineChars="200" w:firstLine="480"/>
        <w:rPr>
          <w:rFonts w:ascii="宋体" w:hAnsi="宋体"/>
          <w:kern w:val="0"/>
          <w:sz w:val="24"/>
        </w:rPr>
      </w:pPr>
      <w:r w:rsidRPr="0095734F">
        <w:rPr>
          <w:rFonts w:ascii="宋体" w:hAnsi="宋体" w:hint="eastAsia"/>
          <w:kern w:val="0"/>
          <w:sz w:val="24"/>
        </w:rPr>
        <w:t>中美科技实力的比较不能简单看研发投入，也不能光看技术公司的市值，而是要具体根据技术类型比较。相比较于美国，中国在创新链条短、集成为主的行业具有优势，比如互联网、人工智能、高铁技术等等；但在创新链条长，需要长期资本和技术积累的领域不足。我们需要正视中美技术差异，在保持擅长领域优势的同时，重点攻克薄弱的核心技术领域。这离不开政府的重视和资金、技术的支持，同时我们鼓励企业积极地向技术创新能力强的华为学习。</w:t>
      </w:r>
    </w:p>
    <w:p w:rsidR="00301E27" w:rsidRPr="0095734F" w:rsidRDefault="00301E27" w:rsidP="0095734F">
      <w:pPr>
        <w:ind w:firstLineChars="200" w:firstLine="482"/>
        <w:rPr>
          <w:rFonts w:ascii="楷体" w:eastAsia="楷体" w:hAnsi="楷体" w:cstheme="minorBidi"/>
          <w:b/>
          <w:color w:val="C00000"/>
          <w:sz w:val="24"/>
        </w:rPr>
      </w:pPr>
      <w:r w:rsidRPr="0095734F">
        <w:rPr>
          <w:rFonts w:ascii="楷体" w:eastAsia="楷体" w:hAnsi="楷体" w:cstheme="minorBidi" w:hint="eastAsia"/>
          <w:b/>
          <w:color w:val="C00000"/>
          <w:sz w:val="24"/>
        </w:rPr>
        <w:t>（二）宏观杠杆率：宏观杠杆率有上升迹象，但风险总体可控，关键在于控制好地方政府债务</w:t>
      </w:r>
    </w:p>
    <w:p w:rsidR="00301E27" w:rsidRPr="0095734F" w:rsidRDefault="00301E27" w:rsidP="0095734F">
      <w:pPr>
        <w:ind w:firstLineChars="200" w:firstLine="480"/>
        <w:rPr>
          <w:rFonts w:ascii="方正姚体" w:eastAsia="方正姚体" w:hAnsi="宋体"/>
          <w:color w:val="00B050"/>
          <w:kern w:val="0"/>
          <w:sz w:val="24"/>
        </w:rPr>
      </w:pPr>
      <w:r w:rsidRPr="0095734F">
        <w:rPr>
          <w:rFonts w:ascii="方正姚体" w:eastAsia="方正姚体" w:hAnsi="宋体" w:hint="eastAsia"/>
          <w:color w:val="00B050"/>
          <w:kern w:val="0"/>
          <w:sz w:val="24"/>
        </w:rPr>
        <w:t>1.宏观杠杆率虽有上升迹象，但尚不足以引发过多担忧，风险总体可控</w:t>
      </w:r>
    </w:p>
    <w:p w:rsidR="00301E27" w:rsidRPr="0095734F" w:rsidRDefault="00301E27" w:rsidP="0095734F">
      <w:pPr>
        <w:ind w:firstLineChars="200" w:firstLine="480"/>
        <w:rPr>
          <w:rFonts w:ascii="宋体" w:hAnsi="宋体"/>
          <w:kern w:val="0"/>
          <w:sz w:val="24"/>
        </w:rPr>
      </w:pPr>
      <w:r w:rsidRPr="0095734F">
        <w:rPr>
          <w:rFonts w:ascii="宋体" w:hAnsi="宋体" w:hint="eastAsia"/>
          <w:kern w:val="0"/>
          <w:sz w:val="24"/>
        </w:rPr>
        <w:t>2019年一季度，中国非金融部门债务（包括政府、非金融企业和居民）与GDP的比重为219.8%（债务余额由</w:t>
      </w:r>
      <w:proofErr w:type="gramStart"/>
      <w:r w:rsidRPr="0095734F">
        <w:rPr>
          <w:rFonts w:ascii="宋体" w:hAnsi="宋体" w:hint="eastAsia"/>
          <w:kern w:val="0"/>
          <w:sz w:val="24"/>
        </w:rPr>
        <w:t>2019年一季度社融存量</w:t>
      </w:r>
      <w:proofErr w:type="gramEnd"/>
      <w:r w:rsidRPr="0095734F">
        <w:rPr>
          <w:rFonts w:ascii="宋体" w:hAnsi="宋体" w:hint="eastAsia"/>
          <w:kern w:val="0"/>
          <w:sz w:val="24"/>
        </w:rPr>
        <w:t>经扣除非金融企业股</w:t>
      </w:r>
      <w:r w:rsidRPr="0095734F">
        <w:rPr>
          <w:rFonts w:ascii="宋体" w:hAnsi="宋体" w:hint="eastAsia"/>
          <w:kern w:val="0"/>
          <w:sz w:val="24"/>
        </w:rPr>
        <w:lastRenderedPageBreak/>
        <w:t>票融资后得出），与2018年末的215.2%相比，上升了4.6个百分点。由此可见，我国宏观杠杆率近期存在上升的迹象。此处需说明的是，根据BIS数据库，2018年四季度中国的宏观杠杆率为254%。由于BIS数据仅更新至2018年末，为了测算2019年一季度的杠杆率，我们根据</w:t>
      </w:r>
      <w:proofErr w:type="gramStart"/>
      <w:r w:rsidRPr="0095734F">
        <w:rPr>
          <w:rFonts w:ascii="宋体" w:hAnsi="宋体" w:hint="eastAsia"/>
          <w:kern w:val="0"/>
          <w:sz w:val="24"/>
        </w:rPr>
        <w:t>社融数据</w:t>
      </w:r>
      <w:proofErr w:type="gramEnd"/>
      <w:r w:rsidRPr="0095734F">
        <w:rPr>
          <w:rFonts w:ascii="宋体" w:hAnsi="宋体" w:hint="eastAsia"/>
          <w:kern w:val="0"/>
          <w:sz w:val="24"/>
        </w:rPr>
        <w:t>对截至2019年一季度的中国债务余额进行了统一估算，并以此构建了中国宏观杠杆率序列。</w:t>
      </w:r>
    </w:p>
    <w:p w:rsidR="00301E27" w:rsidRPr="0095734F" w:rsidRDefault="00301E27" w:rsidP="0095734F">
      <w:pPr>
        <w:ind w:firstLineChars="200" w:firstLine="480"/>
        <w:rPr>
          <w:rFonts w:ascii="方正姚体" w:eastAsia="方正姚体" w:hAnsi="宋体"/>
          <w:color w:val="00B050"/>
          <w:kern w:val="0"/>
          <w:sz w:val="24"/>
        </w:rPr>
      </w:pPr>
      <w:r w:rsidRPr="0095734F">
        <w:rPr>
          <w:rFonts w:ascii="方正姚体" w:eastAsia="方正姚体" w:hAnsi="宋体" w:hint="eastAsia"/>
          <w:color w:val="00B050"/>
          <w:kern w:val="0"/>
          <w:sz w:val="24"/>
        </w:rPr>
        <w:t>2.防范化解地方政府隐性债务风险，关键在于建立现代化基础设施建设投融资体制</w:t>
      </w:r>
    </w:p>
    <w:p w:rsidR="00301E27" w:rsidRPr="0095734F" w:rsidRDefault="00301E27" w:rsidP="0095734F">
      <w:pPr>
        <w:ind w:firstLineChars="200" w:firstLine="480"/>
        <w:rPr>
          <w:rFonts w:ascii="宋体" w:hAnsi="宋体"/>
          <w:kern w:val="0"/>
          <w:sz w:val="24"/>
        </w:rPr>
      </w:pPr>
      <w:r w:rsidRPr="0095734F">
        <w:rPr>
          <w:rFonts w:ascii="宋体" w:hAnsi="宋体" w:hint="eastAsia"/>
          <w:kern w:val="0"/>
          <w:sz w:val="24"/>
        </w:rPr>
        <w:t>多年来，我国已逐步形成了一套地方政府主导的、银行信贷驱动的基础设施建设模式。这种模式在改革开放以来的相当长时期内发挥了积极作用，使我国在短短几十年内迅速崛起为全球基建大国和强国，支撑了我国经济连续多年的高速增长。同时，我们也应该清醒地认识到，近年来地方政府主导的基建投资始终缺乏统一、高效的可行性分析和管理运营，缺乏有效的自我约束机制，责任不清、情况不明的现象较为普遍，也存在项目成本收益分析流于形式、监督难和追责难等一系列问题。</w:t>
      </w:r>
    </w:p>
    <w:p w:rsidR="00301E27" w:rsidRPr="0095734F" w:rsidRDefault="00301E27" w:rsidP="0095734F">
      <w:pPr>
        <w:ind w:firstLineChars="200" w:firstLine="482"/>
        <w:rPr>
          <w:rFonts w:ascii="楷体" w:eastAsia="楷体" w:hAnsi="楷体" w:cstheme="minorBidi"/>
          <w:b/>
          <w:color w:val="C00000"/>
          <w:sz w:val="24"/>
        </w:rPr>
      </w:pPr>
      <w:r w:rsidRPr="0095734F">
        <w:rPr>
          <w:rFonts w:ascii="楷体" w:eastAsia="楷体" w:hAnsi="楷体" w:cstheme="minorBidi" w:hint="eastAsia"/>
          <w:b/>
          <w:color w:val="C00000"/>
          <w:sz w:val="24"/>
        </w:rPr>
        <w:t>（三）财政：财政收支平衡压力加大，广义财政政策仍有空间</w:t>
      </w:r>
    </w:p>
    <w:p w:rsidR="00301E27" w:rsidRPr="0095734F" w:rsidRDefault="00301E27" w:rsidP="0095734F">
      <w:pPr>
        <w:ind w:firstLineChars="200" w:firstLine="480"/>
        <w:rPr>
          <w:rFonts w:ascii="宋体" w:hAnsi="宋体"/>
          <w:kern w:val="0"/>
          <w:sz w:val="24"/>
        </w:rPr>
      </w:pPr>
      <w:r w:rsidRPr="0095734F">
        <w:rPr>
          <w:rFonts w:ascii="宋体" w:hAnsi="宋体" w:hint="eastAsia"/>
          <w:kern w:val="0"/>
          <w:sz w:val="24"/>
        </w:rPr>
        <w:t>财政收入增速大幅下滑，背后既有主动减税的因素，也受经济名义增速放缓的影响。1-5月，一般公共预算财政收入累计同比仅增长3.8%，增速比去年同期下降了8.4个百分点。其中，税收收入累计同比增长2.2%，增速比去年同期下降13.5个百分点。税收增速下降既有主动减税政策的作用，同时也受到经济名义增速放缓的影响，特别是以PPI为代表的工业品价格低增长以及与之伴随的工业企业盈利能力弱化。</w:t>
      </w:r>
    </w:p>
    <w:p w:rsidR="00A74423" w:rsidRPr="0095734F" w:rsidRDefault="00301E27" w:rsidP="0095734F">
      <w:pPr>
        <w:ind w:firstLineChars="200" w:firstLine="480"/>
        <w:rPr>
          <w:rFonts w:ascii="宋体" w:hAnsi="宋体"/>
          <w:kern w:val="0"/>
          <w:sz w:val="24"/>
        </w:rPr>
      </w:pPr>
      <w:r w:rsidRPr="0095734F">
        <w:rPr>
          <w:rFonts w:ascii="宋体" w:hAnsi="宋体" w:hint="eastAsia"/>
          <w:kern w:val="0"/>
          <w:sz w:val="24"/>
        </w:rPr>
        <w:t>在以减税和增加支出为主要手段的传统财政政策工具空间有限的情况下，广义的财政政策仍有空间，应当努力在资金使用效率和结构上多下功夫。</w:t>
      </w:r>
    </w:p>
    <w:p w:rsidR="00301E27" w:rsidRPr="0095734F" w:rsidRDefault="00301E27" w:rsidP="0095734F">
      <w:pPr>
        <w:ind w:firstLineChars="200" w:firstLine="482"/>
        <w:rPr>
          <w:rFonts w:ascii="楷体" w:eastAsia="楷体" w:hAnsi="楷体" w:cstheme="minorBidi"/>
          <w:b/>
          <w:color w:val="C00000"/>
          <w:sz w:val="24"/>
        </w:rPr>
      </w:pPr>
      <w:r w:rsidRPr="0095734F">
        <w:rPr>
          <w:rFonts w:ascii="楷体" w:eastAsia="楷体" w:hAnsi="楷体" w:cstheme="minorBidi" w:hint="eastAsia"/>
          <w:b/>
          <w:color w:val="C00000"/>
          <w:sz w:val="24"/>
        </w:rPr>
        <w:t>（四）中美关系：中美经济深度融合经贸继续发挥“压舱石”作用</w:t>
      </w:r>
    </w:p>
    <w:p w:rsidR="00301E27" w:rsidRPr="0095734F" w:rsidRDefault="00301E27" w:rsidP="0095734F">
      <w:pPr>
        <w:ind w:firstLineChars="200" w:firstLine="480"/>
        <w:rPr>
          <w:rFonts w:ascii="方正姚体" w:eastAsia="方正姚体" w:hAnsi="宋体"/>
          <w:color w:val="00B050"/>
          <w:kern w:val="0"/>
          <w:sz w:val="24"/>
        </w:rPr>
      </w:pPr>
      <w:r w:rsidRPr="0095734F">
        <w:rPr>
          <w:rFonts w:ascii="方正姚体" w:eastAsia="方正姚体" w:hAnsi="宋体" w:hint="eastAsia"/>
          <w:color w:val="00B050"/>
          <w:kern w:val="0"/>
          <w:sz w:val="24"/>
        </w:rPr>
        <w:t>1.中美经贸关系密切继续发挥“压舱石”作用</w:t>
      </w:r>
    </w:p>
    <w:p w:rsidR="00301E27" w:rsidRPr="0095734F" w:rsidRDefault="00301E27" w:rsidP="0095734F">
      <w:pPr>
        <w:ind w:firstLineChars="200" w:firstLine="480"/>
        <w:rPr>
          <w:rFonts w:ascii="宋体" w:hAnsi="宋体"/>
          <w:kern w:val="0"/>
          <w:sz w:val="24"/>
        </w:rPr>
      </w:pPr>
      <w:r w:rsidRPr="0095734F">
        <w:rPr>
          <w:rFonts w:ascii="宋体" w:hAnsi="宋体" w:hint="eastAsia"/>
          <w:kern w:val="0"/>
          <w:sz w:val="24"/>
        </w:rPr>
        <w:t>自2017年8月美国总统特朗普要求对中国开展301调查以来，中美经贸关系逐渐紧张。虽然经历多轮谈判，但美国政府多次出尔反尔，中美经贸摩擦不断升级。尽管如此，2018年中国贸易仍维持良好态势。按照中国海关数据，2018年中美双边货物贸易额达到6335亿美元，其中，中国对美出口4784亿美元，中国从美国进口1551亿美元。按照美方统计数据，2018年，中美双边货物贸易额达到6598亿美元，其中，中国对美出口5395亿美元，中国从美国进口1203亿美元。</w:t>
      </w:r>
    </w:p>
    <w:p w:rsidR="00301E27" w:rsidRPr="0095734F" w:rsidRDefault="00301E27" w:rsidP="0095734F">
      <w:pPr>
        <w:ind w:firstLineChars="200" w:firstLine="480"/>
        <w:rPr>
          <w:rFonts w:ascii="方正姚体" w:eastAsia="方正姚体" w:hAnsi="宋体"/>
          <w:color w:val="00B050"/>
          <w:kern w:val="0"/>
          <w:sz w:val="24"/>
        </w:rPr>
      </w:pPr>
      <w:r w:rsidRPr="0095734F">
        <w:rPr>
          <w:rFonts w:ascii="方正姚体" w:eastAsia="方正姚体" w:hAnsi="宋体" w:hint="eastAsia"/>
          <w:color w:val="00B050"/>
          <w:kern w:val="0"/>
          <w:sz w:val="24"/>
        </w:rPr>
        <w:t>2.保持理性、合理反制、积极谈判，努力达成“双赢”协议</w:t>
      </w:r>
    </w:p>
    <w:p w:rsidR="00301E27" w:rsidRPr="0095734F" w:rsidRDefault="00301E27" w:rsidP="0095734F">
      <w:pPr>
        <w:ind w:firstLineChars="200" w:firstLine="480"/>
        <w:rPr>
          <w:rFonts w:ascii="宋体" w:hAnsi="宋体"/>
          <w:kern w:val="0"/>
          <w:sz w:val="24"/>
        </w:rPr>
      </w:pPr>
      <w:r w:rsidRPr="0095734F">
        <w:rPr>
          <w:rFonts w:ascii="宋体" w:hAnsi="宋体" w:hint="eastAsia"/>
          <w:kern w:val="0"/>
          <w:sz w:val="24"/>
        </w:rPr>
        <w:t>中美关系有着进一步深化、亲密化的良好基础，但是近年来，中美加深互信合作的进程被横加阻挠，从“中美国”（</w:t>
      </w:r>
      <w:proofErr w:type="spellStart"/>
      <w:r w:rsidRPr="0095734F">
        <w:rPr>
          <w:rFonts w:ascii="宋体" w:hAnsi="宋体" w:hint="eastAsia"/>
          <w:kern w:val="0"/>
          <w:sz w:val="24"/>
        </w:rPr>
        <w:t>Chimerica</w:t>
      </w:r>
      <w:proofErr w:type="spellEnd"/>
      <w:r w:rsidRPr="0095734F">
        <w:rPr>
          <w:rFonts w:ascii="宋体" w:hAnsi="宋体" w:hint="eastAsia"/>
          <w:kern w:val="0"/>
          <w:sz w:val="24"/>
        </w:rPr>
        <w:t>）向“脱钩”（</w:t>
      </w:r>
      <w:proofErr w:type="spellStart"/>
      <w:r w:rsidRPr="0095734F">
        <w:rPr>
          <w:rFonts w:ascii="宋体" w:hAnsi="宋体" w:hint="eastAsia"/>
          <w:kern w:val="0"/>
          <w:sz w:val="24"/>
        </w:rPr>
        <w:t>Depegging</w:t>
      </w:r>
      <w:proofErr w:type="spellEnd"/>
      <w:r w:rsidRPr="0095734F">
        <w:rPr>
          <w:rFonts w:ascii="宋体" w:hAnsi="宋体" w:hint="eastAsia"/>
          <w:kern w:val="0"/>
          <w:sz w:val="24"/>
        </w:rPr>
        <w:t>）的危险滑落。中美双方从2018年开始了多轮贸易谈判，今年5月以来由于美国政府的出尔反尔和极限施压陷入停滞状态。</w:t>
      </w:r>
    </w:p>
    <w:p w:rsidR="00301E27" w:rsidRPr="0095734F" w:rsidRDefault="00301E27" w:rsidP="0095734F">
      <w:pPr>
        <w:ind w:firstLineChars="200" w:firstLine="480"/>
        <w:rPr>
          <w:rFonts w:ascii="宋体" w:hAnsi="宋体"/>
          <w:kern w:val="0"/>
          <w:sz w:val="24"/>
        </w:rPr>
      </w:pPr>
      <w:r w:rsidRPr="0095734F">
        <w:rPr>
          <w:rFonts w:ascii="宋体" w:hAnsi="宋体" w:hint="eastAsia"/>
          <w:kern w:val="0"/>
          <w:sz w:val="24"/>
        </w:rPr>
        <w:t>面对特朗普政府的出尔反尔、极限施压，中国政府应该做到：第一，保持理性、克制和耐心，妥善引导民众情绪，避免低级陷阱，防止狭隘名族主义影响政策；第二，应占据道德制高点，本着对全球经济负责的态度继续推进新型全球化；</w:t>
      </w:r>
      <w:r w:rsidRPr="0095734F">
        <w:rPr>
          <w:rFonts w:ascii="宋体" w:hAnsi="宋体" w:hint="eastAsia"/>
          <w:kern w:val="0"/>
          <w:sz w:val="24"/>
        </w:rPr>
        <w:lastRenderedPageBreak/>
        <w:t>第三，推出合情合理的反制措施，反制本身不是目的，而是手段，最终目的还是让美国政府意识到中美合则</w:t>
      </w:r>
      <w:proofErr w:type="gramStart"/>
      <w:r w:rsidRPr="0095734F">
        <w:rPr>
          <w:rFonts w:ascii="宋体" w:hAnsi="宋体" w:hint="eastAsia"/>
          <w:kern w:val="0"/>
          <w:sz w:val="24"/>
        </w:rPr>
        <w:t>两利且有利</w:t>
      </w:r>
      <w:proofErr w:type="gramEnd"/>
      <w:r w:rsidRPr="0095734F">
        <w:rPr>
          <w:rFonts w:ascii="宋体" w:hAnsi="宋体" w:hint="eastAsia"/>
          <w:kern w:val="0"/>
          <w:sz w:val="24"/>
        </w:rPr>
        <w:t>世界、斗则</w:t>
      </w:r>
      <w:proofErr w:type="gramStart"/>
      <w:r w:rsidRPr="0095734F">
        <w:rPr>
          <w:rFonts w:ascii="宋体" w:hAnsi="宋体" w:hint="eastAsia"/>
          <w:kern w:val="0"/>
          <w:sz w:val="24"/>
        </w:rPr>
        <w:t>两伤且殃及</w:t>
      </w:r>
      <w:proofErr w:type="gramEnd"/>
      <w:r w:rsidRPr="0095734F">
        <w:rPr>
          <w:rFonts w:ascii="宋体" w:hAnsi="宋体" w:hint="eastAsia"/>
          <w:kern w:val="0"/>
          <w:sz w:val="24"/>
        </w:rPr>
        <w:t>他国，从而促使美国的决策者回到谈判桌上，回归理性、维护多边秩序、继续推动全球化。</w:t>
      </w:r>
    </w:p>
    <w:p w:rsidR="00301E27" w:rsidRPr="0095734F" w:rsidRDefault="002C0BDC" w:rsidP="0095734F">
      <w:pPr>
        <w:ind w:firstLineChars="200" w:firstLine="482"/>
        <w:rPr>
          <w:rFonts w:ascii="楷体" w:eastAsia="楷体" w:hAnsi="楷体" w:cstheme="minorBidi"/>
          <w:b/>
          <w:color w:val="C00000"/>
          <w:sz w:val="24"/>
        </w:rPr>
      </w:pPr>
      <w:r>
        <w:rPr>
          <w:rFonts w:ascii="楷体" w:eastAsia="楷体" w:hAnsi="楷体" w:cstheme="minorBidi" w:hint="eastAsia"/>
          <w:b/>
          <w:color w:val="C00000"/>
          <w:sz w:val="24"/>
        </w:rPr>
        <w:t>（五）中等收入群体：</w:t>
      </w:r>
      <w:r w:rsidR="00301E27" w:rsidRPr="0095734F">
        <w:rPr>
          <w:rFonts w:ascii="楷体" w:eastAsia="楷体" w:hAnsi="楷体" w:cstheme="minorBidi" w:hint="eastAsia"/>
          <w:b/>
          <w:color w:val="C00000"/>
          <w:sz w:val="24"/>
        </w:rPr>
        <w:t>有望15年内实现中等收入群体倍增，凸显中国经济未来巨大的增长潜力</w:t>
      </w:r>
    </w:p>
    <w:p w:rsidR="00301E27" w:rsidRPr="0095734F" w:rsidRDefault="00301E27" w:rsidP="0095734F">
      <w:pPr>
        <w:ind w:firstLineChars="200" w:firstLine="480"/>
        <w:rPr>
          <w:rFonts w:ascii="宋体" w:hAnsi="宋体"/>
          <w:kern w:val="0"/>
          <w:sz w:val="24"/>
        </w:rPr>
      </w:pPr>
      <w:r w:rsidRPr="0095734F">
        <w:rPr>
          <w:rFonts w:ascii="宋体" w:hAnsi="宋体" w:hint="eastAsia"/>
          <w:kern w:val="0"/>
          <w:sz w:val="24"/>
        </w:rPr>
        <w:t>作为我国经济工作的主线，供给侧结构性改革在2015年首次提出以来有效促进我国经济结构调整，矫正要素配置扭曲，扩大有效供给，在经济可持续高速增长的基础上实现经济可持续发展与人民生活水平不断提高。在不断深化供给侧结构性改革的同时，也需要在需求</w:t>
      </w:r>
      <w:proofErr w:type="gramStart"/>
      <w:r w:rsidRPr="0095734F">
        <w:rPr>
          <w:rFonts w:ascii="宋体" w:hAnsi="宋体" w:hint="eastAsia"/>
          <w:kern w:val="0"/>
          <w:sz w:val="24"/>
        </w:rPr>
        <w:t>侧不断</w:t>
      </w:r>
      <w:proofErr w:type="gramEnd"/>
      <w:r w:rsidRPr="0095734F">
        <w:rPr>
          <w:rFonts w:ascii="宋体" w:hAnsi="宋体" w:hint="eastAsia"/>
          <w:kern w:val="0"/>
          <w:sz w:val="24"/>
        </w:rPr>
        <w:t>提升居民收入水平和消费能力，以有效促进供需两侧高度匹配，实现人民群众对美好生活的向往与追求。今年1月</w:t>
      </w:r>
      <w:proofErr w:type="gramStart"/>
      <w:r w:rsidRPr="0095734F">
        <w:rPr>
          <w:rFonts w:ascii="宋体" w:hAnsi="宋体" w:hint="eastAsia"/>
          <w:kern w:val="0"/>
          <w:sz w:val="24"/>
        </w:rPr>
        <w:t>国家发改委</w:t>
      </w:r>
      <w:proofErr w:type="gramEnd"/>
      <w:r w:rsidRPr="0095734F">
        <w:rPr>
          <w:rFonts w:ascii="宋体" w:hAnsi="宋体" w:hint="eastAsia"/>
          <w:kern w:val="0"/>
          <w:sz w:val="24"/>
        </w:rPr>
        <w:t>副主任宁吉</w:t>
      </w:r>
      <w:proofErr w:type="gramStart"/>
      <w:r w:rsidRPr="0095734F">
        <w:rPr>
          <w:rFonts w:ascii="宋体" w:hAnsi="宋体" w:hint="eastAsia"/>
          <w:kern w:val="0"/>
          <w:sz w:val="24"/>
        </w:rPr>
        <w:t>喆</w:t>
      </w:r>
      <w:proofErr w:type="gramEnd"/>
      <w:r w:rsidRPr="0095734F">
        <w:rPr>
          <w:rFonts w:ascii="宋体" w:hAnsi="宋体" w:hint="eastAsia"/>
          <w:kern w:val="0"/>
          <w:sz w:val="24"/>
        </w:rPr>
        <w:t>在接受采访时表示，中国有近14亿人口，中等收入群体在2017年已经超过4亿，要持续深化收入分配制度改革，增加低收入群体收入，扩大中等收入群体，增强居民的消费能力。我们认为，实现经济高质量发展的关键在于通过有效的宏观经济政策促进我国的中等收入群体人数翻倍，通过中等收入群体的规模扩大和收入增加促进我国经济新旧动能加快转换。</w:t>
      </w:r>
    </w:p>
    <w:p w:rsidR="00301E27" w:rsidRPr="00396D71" w:rsidRDefault="00301E27" w:rsidP="0095734F">
      <w:pPr>
        <w:ind w:firstLineChars="200" w:firstLine="480"/>
        <w:rPr>
          <w:rFonts w:ascii="华文仿宋" w:eastAsia="华文仿宋" w:hAnsi="华文仿宋" w:cstheme="minorBidi"/>
          <w:b/>
          <w:color w:val="7030A0"/>
          <w:sz w:val="24"/>
        </w:rPr>
      </w:pPr>
      <w:r w:rsidRPr="00396D71">
        <w:rPr>
          <w:rFonts w:ascii="华文仿宋" w:eastAsia="华文仿宋" w:hAnsi="华文仿宋" w:cstheme="minorBidi" w:hint="eastAsia"/>
          <w:b/>
          <w:color w:val="7030A0"/>
          <w:sz w:val="24"/>
        </w:rPr>
        <w:t>三、政策建议</w:t>
      </w:r>
    </w:p>
    <w:p w:rsidR="00301E27" w:rsidRPr="0095734F" w:rsidRDefault="00301E27" w:rsidP="0095734F">
      <w:pPr>
        <w:ind w:firstLineChars="200" w:firstLine="480"/>
        <w:rPr>
          <w:rFonts w:ascii="宋体" w:hAnsi="宋体"/>
          <w:kern w:val="0"/>
          <w:sz w:val="24"/>
        </w:rPr>
      </w:pPr>
      <w:r w:rsidRPr="0095734F">
        <w:rPr>
          <w:rFonts w:ascii="宋体" w:hAnsi="宋体" w:hint="eastAsia"/>
          <w:kern w:val="0"/>
          <w:sz w:val="24"/>
        </w:rPr>
        <w:t>综上所述，中国经济在2019年上半年确实已经出现了增速下滑的压力，其主要原因并非中美贸易摩擦升级所带来的国际贸易以及国际投资的下降，而是中国经济内部经济主体的信心不足。为此，我们认为应当掀起新一轮改革开放的热潮，以提振信心、增强活力，这也是最有效且最直接地应对当前国际上“逆全球化”以及遏制中国发展的寒流的措施。</w:t>
      </w:r>
    </w:p>
    <w:p w:rsidR="00745B40" w:rsidRPr="0095734F" w:rsidRDefault="00301E27" w:rsidP="0095734F">
      <w:pPr>
        <w:ind w:firstLineChars="200" w:firstLine="480"/>
        <w:rPr>
          <w:rFonts w:ascii="宋体" w:hAnsi="宋体"/>
          <w:kern w:val="0"/>
          <w:sz w:val="24"/>
        </w:rPr>
      </w:pPr>
      <w:r w:rsidRPr="0095734F">
        <w:rPr>
          <w:rFonts w:ascii="宋体" w:hAnsi="宋体" w:hint="eastAsia"/>
          <w:kern w:val="0"/>
          <w:sz w:val="24"/>
        </w:rPr>
        <w:t>在对外开放方面，我们特别建议针对那些当前对中国持积极态度的发达国家，如欧盟、日本和英国等，进一步开放国际贸易和跨国投资。通过面向这些国家开放市场，降低投资门槛，希望能够引进一批新的外资，同时也为我们的出口打开市场，以此来应对美国方面的压力，促使美国方面更愿意与中国进行经贸投资磋商，从而引领新一轮的开放热潮。</w:t>
      </w:r>
    </w:p>
    <w:sectPr w:rsidR="00745B40" w:rsidRPr="0095734F" w:rsidSect="003D21F7">
      <w:headerReference w:type="default" r:id="rId8"/>
      <w:footerReference w:type="even" r:id="rId9"/>
      <w:footerReference w:type="default" r:id="rId10"/>
      <w:pgSz w:w="11906" w:h="16838"/>
      <w:pgMar w:top="1440" w:right="1800" w:bottom="1440" w:left="1800" w:header="851" w:footer="851" w:gutter="0"/>
      <w:pgNumType w:start="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7948" w:rsidRDefault="00B57948">
      <w:r>
        <w:separator/>
      </w:r>
    </w:p>
  </w:endnote>
  <w:endnote w:type="continuationSeparator" w:id="0">
    <w:p w:rsidR="00B57948" w:rsidRDefault="00B57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方正姚体">
    <w:panose1 w:val="02010601030101010101"/>
    <w:charset w:val="86"/>
    <w:family w:val="auto"/>
    <w:pitch w:val="variable"/>
    <w:sig w:usb0="00000003"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1D5" w:rsidRDefault="00FA31D5" w:rsidP="00FA31D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A31D5" w:rsidRDefault="00FA31D5" w:rsidP="00FA31D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1D5" w:rsidRDefault="00FA31D5" w:rsidP="00FA31D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7948" w:rsidRDefault="00B57948">
      <w:r>
        <w:separator/>
      </w:r>
    </w:p>
  </w:footnote>
  <w:footnote w:type="continuationSeparator" w:id="0">
    <w:p w:rsidR="00B57948" w:rsidRDefault="00B579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1D5" w:rsidRDefault="00FA31D5" w:rsidP="00FA31D5">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6AF"/>
    <w:rsid w:val="00003761"/>
    <w:rsid w:val="000059FB"/>
    <w:rsid w:val="00017053"/>
    <w:rsid w:val="000206AF"/>
    <w:rsid w:val="0004294A"/>
    <w:rsid w:val="000648C2"/>
    <w:rsid w:val="00086C15"/>
    <w:rsid w:val="000B0AA7"/>
    <w:rsid w:val="000E333B"/>
    <w:rsid w:val="001045DF"/>
    <w:rsid w:val="00105F8E"/>
    <w:rsid w:val="00167E75"/>
    <w:rsid w:val="001A73E3"/>
    <w:rsid w:val="001C3F8C"/>
    <w:rsid w:val="001E0B53"/>
    <w:rsid w:val="001F25F7"/>
    <w:rsid w:val="002223AA"/>
    <w:rsid w:val="00241C54"/>
    <w:rsid w:val="00244D86"/>
    <w:rsid w:val="0025165F"/>
    <w:rsid w:val="0027311F"/>
    <w:rsid w:val="00281F4B"/>
    <w:rsid w:val="00295DAF"/>
    <w:rsid w:val="002C0BDC"/>
    <w:rsid w:val="002D0789"/>
    <w:rsid w:val="002D2336"/>
    <w:rsid w:val="002D251A"/>
    <w:rsid w:val="002D7B21"/>
    <w:rsid w:val="002F21C0"/>
    <w:rsid w:val="00301E27"/>
    <w:rsid w:val="00323C88"/>
    <w:rsid w:val="00333D21"/>
    <w:rsid w:val="00344780"/>
    <w:rsid w:val="003665D9"/>
    <w:rsid w:val="00390340"/>
    <w:rsid w:val="00392120"/>
    <w:rsid w:val="00396D71"/>
    <w:rsid w:val="003D21F7"/>
    <w:rsid w:val="0040009D"/>
    <w:rsid w:val="00404896"/>
    <w:rsid w:val="004106E0"/>
    <w:rsid w:val="0045278B"/>
    <w:rsid w:val="00463FCF"/>
    <w:rsid w:val="00465BFB"/>
    <w:rsid w:val="0048638E"/>
    <w:rsid w:val="004B583B"/>
    <w:rsid w:val="004C3DBD"/>
    <w:rsid w:val="004E7727"/>
    <w:rsid w:val="00507296"/>
    <w:rsid w:val="00542FF5"/>
    <w:rsid w:val="00543075"/>
    <w:rsid w:val="005525E1"/>
    <w:rsid w:val="00560E9D"/>
    <w:rsid w:val="0059310C"/>
    <w:rsid w:val="005A3AC0"/>
    <w:rsid w:val="005A73F1"/>
    <w:rsid w:val="0060078C"/>
    <w:rsid w:val="00603807"/>
    <w:rsid w:val="006139DA"/>
    <w:rsid w:val="006157DE"/>
    <w:rsid w:val="006669ED"/>
    <w:rsid w:val="00667AAF"/>
    <w:rsid w:val="00673EE1"/>
    <w:rsid w:val="006749D1"/>
    <w:rsid w:val="006B0F9E"/>
    <w:rsid w:val="006C4DFD"/>
    <w:rsid w:val="006E35BD"/>
    <w:rsid w:val="00703453"/>
    <w:rsid w:val="00707BEA"/>
    <w:rsid w:val="007122AB"/>
    <w:rsid w:val="00745B40"/>
    <w:rsid w:val="007703F3"/>
    <w:rsid w:val="00787B4E"/>
    <w:rsid w:val="007B29B1"/>
    <w:rsid w:val="007B6D1C"/>
    <w:rsid w:val="007C656F"/>
    <w:rsid w:val="007E71AE"/>
    <w:rsid w:val="00805A5E"/>
    <w:rsid w:val="008157D0"/>
    <w:rsid w:val="008355F3"/>
    <w:rsid w:val="0085116B"/>
    <w:rsid w:val="008579C9"/>
    <w:rsid w:val="008E2FD2"/>
    <w:rsid w:val="008E43D8"/>
    <w:rsid w:val="008F070C"/>
    <w:rsid w:val="00942B51"/>
    <w:rsid w:val="00946BD5"/>
    <w:rsid w:val="0095734F"/>
    <w:rsid w:val="00972CC9"/>
    <w:rsid w:val="009833E4"/>
    <w:rsid w:val="009837FC"/>
    <w:rsid w:val="00984A51"/>
    <w:rsid w:val="00990EFE"/>
    <w:rsid w:val="009A0E62"/>
    <w:rsid w:val="009B4AFB"/>
    <w:rsid w:val="009D4ADE"/>
    <w:rsid w:val="009D6219"/>
    <w:rsid w:val="009E6B3C"/>
    <w:rsid w:val="009F42E4"/>
    <w:rsid w:val="00A03A6D"/>
    <w:rsid w:val="00A069BD"/>
    <w:rsid w:val="00A74423"/>
    <w:rsid w:val="00AF28A2"/>
    <w:rsid w:val="00B05B6F"/>
    <w:rsid w:val="00B07E03"/>
    <w:rsid w:val="00B109CD"/>
    <w:rsid w:val="00B254BB"/>
    <w:rsid w:val="00B30717"/>
    <w:rsid w:val="00B440B7"/>
    <w:rsid w:val="00B57948"/>
    <w:rsid w:val="00B63E29"/>
    <w:rsid w:val="00B71C1C"/>
    <w:rsid w:val="00B72430"/>
    <w:rsid w:val="00BA0FC7"/>
    <w:rsid w:val="00BB497B"/>
    <w:rsid w:val="00BD0721"/>
    <w:rsid w:val="00BF36DC"/>
    <w:rsid w:val="00C56400"/>
    <w:rsid w:val="00C57C8E"/>
    <w:rsid w:val="00C621B6"/>
    <w:rsid w:val="00C75282"/>
    <w:rsid w:val="00CA30AC"/>
    <w:rsid w:val="00D32C69"/>
    <w:rsid w:val="00D843DA"/>
    <w:rsid w:val="00DB208F"/>
    <w:rsid w:val="00DB6565"/>
    <w:rsid w:val="00DC7DBC"/>
    <w:rsid w:val="00DF4152"/>
    <w:rsid w:val="00E002CE"/>
    <w:rsid w:val="00E2236F"/>
    <w:rsid w:val="00E537D4"/>
    <w:rsid w:val="00E60B66"/>
    <w:rsid w:val="00E915BD"/>
    <w:rsid w:val="00E91A26"/>
    <w:rsid w:val="00E97A86"/>
    <w:rsid w:val="00EE6015"/>
    <w:rsid w:val="00EE61A9"/>
    <w:rsid w:val="00F04DD0"/>
    <w:rsid w:val="00F07839"/>
    <w:rsid w:val="00F100CA"/>
    <w:rsid w:val="00F15B21"/>
    <w:rsid w:val="00F314A7"/>
    <w:rsid w:val="00F50875"/>
    <w:rsid w:val="00F56309"/>
    <w:rsid w:val="00F703AD"/>
    <w:rsid w:val="00F775FE"/>
    <w:rsid w:val="00F81ED7"/>
    <w:rsid w:val="00F85F68"/>
    <w:rsid w:val="00FA31D5"/>
    <w:rsid w:val="00FB14C8"/>
    <w:rsid w:val="00FB3394"/>
    <w:rsid w:val="00FC0E53"/>
    <w:rsid w:val="00FE1FAF"/>
    <w:rsid w:val="00FE4D14"/>
    <w:rsid w:val="00FF0F83"/>
    <w:rsid w:val="00FF31E4"/>
    <w:rsid w:val="00FF6C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6A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0206AF"/>
    <w:pPr>
      <w:tabs>
        <w:tab w:val="center" w:pos="4153"/>
        <w:tab w:val="right" w:pos="8306"/>
      </w:tabs>
      <w:snapToGrid w:val="0"/>
      <w:jc w:val="left"/>
    </w:pPr>
    <w:rPr>
      <w:sz w:val="18"/>
      <w:szCs w:val="18"/>
    </w:rPr>
  </w:style>
  <w:style w:type="character" w:customStyle="1" w:styleId="Char">
    <w:name w:val="页脚 Char"/>
    <w:basedOn w:val="a0"/>
    <w:link w:val="a3"/>
    <w:rsid w:val="000206AF"/>
    <w:rPr>
      <w:rFonts w:ascii="Times New Roman" w:eastAsia="宋体" w:hAnsi="Times New Roman" w:cs="Times New Roman"/>
      <w:sz w:val="18"/>
      <w:szCs w:val="18"/>
    </w:rPr>
  </w:style>
  <w:style w:type="character" w:styleId="a4">
    <w:name w:val="page number"/>
    <w:basedOn w:val="a0"/>
    <w:rsid w:val="000206AF"/>
  </w:style>
  <w:style w:type="paragraph" w:styleId="a5">
    <w:name w:val="header"/>
    <w:basedOn w:val="a"/>
    <w:link w:val="Char0"/>
    <w:rsid w:val="000206A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0206AF"/>
    <w:rPr>
      <w:rFonts w:ascii="Times New Roman" w:eastAsia="宋体" w:hAnsi="Times New Roman" w:cs="Times New Roman"/>
      <w:sz w:val="18"/>
      <w:szCs w:val="18"/>
    </w:rPr>
  </w:style>
  <w:style w:type="character" w:styleId="a6">
    <w:name w:val="Hyperlink"/>
    <w:basedOn w:val="a0"/>
    <w:uiPriority w:val="99"/>
    <w:unhideWhenUsed/>
    <w:rsid w:val="004106E0"/>
    <w:rPr>
      <w:color w:val="0000FF" w:themeColor="hyperlink"/>
      <w:u w:val="single"/>
    </w:rPr>
  </w:style>
  <w:style w:type="table" w:styleId="a7">
    <w:name w:val="Table Grid"/>
    <w:basedOn w:val="a1"/>
    <w:uiPriority w:val="59"/>
    <w:rsid w:val="007C65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6A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0206AF"/>
    <w:pPr>
      <w:tabs>
        <w:tab w:val="center" w:pos="4153"/>
        <w:tab w:val="right" w:pos="8306"/>
      </w:tabs>
      <w:snapToGrid w:val="0"/>
      <w:jc w:val="left"/>
    </w:pPr>
    <w:rPr>
      <w:sz w:val="18"/>
      <w:szCs w:val="18"/>
    </w:rPr>
  </w:style>
  <w:style w:type="character" w:customStyle="1" w:styleId="Char">
    <w:name w:val="页脚 Char"/>
    <w:basedOn w:val="a0"/>
    <w:link w:val="a3"/>
    <w:rsid w:val="000206AF"/>
    <w:rPr>
      <w:rFonts w:ascii="Times New Roman" w:eastAsia="宋体" w:hAnsi="Times New Roman" w:cs="Times New Roman"/>
      <w:sz w:val="18"/>
      <w:szCs w:val="18"/>
    </w:rPr>
  </w:style>
  <w:style w:type="character" w:styleId="a4">
    <w:name w:val="page number"/>
    <w:basedOn w:val="a0"/>
    <w:rsid w:val="000206AF"/>
  </w:style>
  <w:style w:type="paragraph" w:styleId="a5">
    <w:name w:val="header"/>
    <w:basedOn w:val="a"/>
    <w:link w:val="Char0"/>
    <w:rsid w:val="000206A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0206AF"/>
    <w:rPr>
      <w:rFonts w:ascii="Times New Roman" w:eastAsia="宋体" w:hAnsi="Times New Roman" w:cs="Times New Roman"/>
      <w:sz w:val="18"/>
      <w:szCs w:val="18"/>
    </w:rPr>
  </w:style>
  <w:style w:type="character" w:styleId="a6">
    <w:name w:val="Hyperlink"/>
    <w:basedOn w:val="a0"/>
    <w:uiPriority w:val="99"/>
    <w:unhideWhenUsed/>
    <w:rsid w:val="004106E0"/>
    <w:rPr>
      <w:color w:val="0000FF" w:themeColor="hyperlink"/>
      <w:u w:val="single"/>
    </w:rPr>
  </w:style>
  <w:style w:type="table" w:styleId="a7">
    <w:name w:val="Table Grid"/>
    <w:basedOn w:val="a1"/>
    <w:uiPriority w:val="59"/>
    <w:rsid w:val="007C65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4599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3DAF3-4B07-41CB-AA83-2C420E083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424</TotalTime>
  <Pages>1</Pages>
  <Words>1028</Words>
  <Characters>5864</Characters>
  <Application>Microsoft Office Word</Application>
  <DocSecurity>0</DocSecurity>
  <Lines>48</Lines>
  <Paragraphs>13</Paragraphs>
  <ScaleCrop>false</ScaleCrop>
  <Company> </Company>
  <LinksUpToDate>false</LinksUpToDate>
  <CharactersWithSpaces>6879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jiyan</dc:creator>
  <cp:lastModifiedBy>admin</cp:lastModifiedBy>
  <cp:revision>122</cp:revision>
  <dcterms:created xsi:type="dcterms:W3CDTF">2013-11-24T06:23:00Z</dcterms:created>
  <dcterms:modified xsi:type="dcterms:W3CDTF">2020-05-26T01:30:00Z</dcterms:modified>
</cp:coreProperties>
</file>